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r>
    </w:p>
    <w:p>
      <w:pPr>
        <w:pStyle w:val="Normal"/>
        <w:spacing w:lineRule="auto" w:line="276"/>
        <w:jc w:val="center"/>
        <w:rPr/>
      </w:pPr>
      <w:r>
        <w:rPr/>
        <w:t>UMOWA O REALIZACJĘ ZADANIA PUBLICZNEGO,</w:t>
      </w:r>
    </w:p>
    <w:p>
      <w:pPr>
        <w:pStyle w:val="Normal"/>
        <w:spacing w:lineRule="auto" w:line="276"/>
        <w:jc w:val="center"/>
        <w:rPr/>
      </w:pPr>
      <w:r>
        <w:rPr/>
        <w:t xml:space="preserve"> </w:t>
      </w:r>
      <w:r>
        <w:rPr/>
        <w:t xml:space="preserve">O KTÓREJ MOWA W ART. 16 UST. 1/6 </w:t>
      </w:r>
      <w:r>
        <w:rPr>
          <w:rFonts w:eastAsia="Arial"/>
          <w:bCs/>
        </w:rPr>
        <w:t>USTAWY</w:t>
      </w:r>
      <w:r>
        <w:rPr>
          <w:rFonts w:eastAsia="Arial"/>
        </w:rPr>
        <w:t xml:space="preserve"> </w:t>
      </w:r>
      <w:r>
        <w:rPr>
          <w:rFonts w:eastAsia="Arial"/>
          <w:bCs/>
        </w:rPr>
        <w:t xml:space="preserve">Z DNIA 24 KWIETNIA </w:t>
        <w:br/>
        <w:t xml:space="preserve">2003 R. O DZIAŁALNOŚCI POŻYTKU PUBLICZNEGO I O WOLONTARIACIE </w:t>
        <w:br/>
        <w:t>(DZ. U. Z 2020 R. POZ. 1057, Z PÓŹN. ZM.)</w:t>
      </w:r>
    </w:p>
    <w:p>
      <w:pPr>
        <w:pStyle w:val="Normal"/>
        <w:spacing w:lineRule="auto" w:line="276"/>
        <w:rPr/>
      </w:pPr>
      <w:r>
        <w:rPr/>
      </w:r>
    </w:p>
    <w:p>
      <w:pPr>
        <w:pStyle w:val="Normal"/>
        <w:spacing w:lineRule="auto" w:line="276"/>
        <w:jc w:val="center"/>
        <w:rPr>
          <w:b/>
          <w:b/>
          <w:bCs/>
        </w:rPr>
      </w:pPr>
      <w:r>
        <w:rPr>
          <w:b/>
          <w:bCs/>
        </w:rPr>
        <w:t>nr … /MOPR/D-PŚ/2021</w:t>
      </w:r>
    </w:p>
    <w:p>
      <w:pPr>
        <w:pStyle w:val="Normal"/>
        <w:spacing w:lineRule="auto" w:line="276"/>
        <w:rPr/>
      </w:pPr>
      <w:r>
        <w:rPr/>
      </w:r>
    </w:p>
    <w:p>
      <w:pPr>
        <w:pStyle w:val="Normal"/>
        <w:spacing w:lineRule="auto" w:line="276"/>
        <w:jc w:val="both"/>
        <w:rPr/>
      </w:pPr>
      <w:r>
        <w:rPr/>
        <w:t xml:space="preserve">pod tytułem: </w:t>
      </w:r>
      <w:r>
        <w:rPr>
          <w:b/>
          <w:bCs/>
        </w:rPr>
        <w:t>„Nieodpłatne przekazywanie artykułów spożywczych pozyskanych w trakcie realizacji Programu Operacyjnego Pomoc Żywnościowa 2014-2020 i z innych źródeł,</w:t>
        <w:br/>
        <w:t>w tym zbiórek oraz realizacja działań w ramach środków towarzyszących w 2021 r.”</w:t>
      </w:r>
      <w:r>
        <w:rPr/>
        <w:t>,</w:t>
      </w:r>
    </w:p>
    <w:p>
      <w:pPr>
        <w:pStyle w:val="Normal"/>
        <w:spacing w:lineRule="auto" w:line="276"/>
        <w:jc w:val="both"/>
        <w:rPr/>
      </w:pPr>
      <w:r>
        <w:rPr/>
        <w:t>zawarta w dniu ………………………2021 r. w Lublinie,</w:t>
      </w:r>
    </w:p>
    <w:p>
      <w:pPr>
        <w:pStyle w:val="Normal"/>
        <w:spacing w:lineRule="auto" w:line="276"/>
        <w:rPr/>
      </w:pPr>
      <w:r>
        <w:rPr/>
      </w:r>
    </w:p>
    <w:p>
      <w:pPr>
        <w:pStyle w:val="Normal"/>
        <w:spacing w:lineRule="auto" w:line="276"/>
        <w:rPr/>
      </w:pPr>
      <w:r>
        <w:rPr/>
        <w:t>między:</w:t>
      </w:r>
    </w:p>
    <w:p>
      <w:pPr>
        <w:pStyle w:val="Normal"/>
        <w:spacing w:lineRule="auto" w:line="276"/>
        <w:jc w:val="both"/>
        <w:rPr/>
      </w:pPr>
      <w:r>
        <w:rPr>
          <w:b/>
          <w:color w:val="000000"/>
        </w:rPr>
        <w:t>Gminą Lublin</w:t>
      </w:r>
      <w:r>
        <w:rPr>
          <w:color w:val="000000"/>
        </w:rPr>
        <w:t xml:space="preserve"> – miastem na prawach powiatu z siedzibą w Lublinie, Pl. Króla Władysława Łokietka 1</w:t>
      </w:r>
      <w:r>
        <w:rPr/>
        <w:t xml:space="preserve">, zwanym dalej „Zleceniodawcą”, reprezentowanym przez: </w:t>
      </w:r>
    </w:p>
    <w:p>
      <w:pPr>
        <w:pStyle w:val="Normal"/>
        <w:spacing w:lineRule="auto" w:line="276"/>
        <w:jc w:val="both"/>
        <w:rPr>
          <w:b/>
          <w:b/>
          <w:color w:val="000000"/>
        </w:rPr>
      </w:pPr>
      <w:r>
        <w:rPr>
          <w:b/>
          <w:color w:val="000000"/>
        </w:rPr>
        <w:t>Panią Katarzynę Fus - Dyrektora Miejskiego Ośrodka Pomocy Rodzinie w Lublinie</w:t>
      </w:r>
      <w:r>
        <w:rPr/>
        <w:t>,  działającą na podstawie pełnomocnictwa udzielonego Zarządzeniem Nr 97/9/2020 Prezydenta Miasta Lublin z dnia 16 września 2020 r. w sprawie udzielenia Pani Katarzynie Fus – Dyrektorowi Miejskiego Ośrodka Pomocy Rodzinie w Lublinie pełnomocnictw do jednoosobowego kierowania Miejskim Ośrodkiem Pomocy Rodzinie w Lublinie i składania oświadczeń woli, zwaną dalej „Zleceniodawcą”</w:t>
      </w:r>
    </w:p>
    <w:p>
      <w:pPr>
        <w:pStyle w:val="Normal"/>
        <w:spacing w:lineRule="auto" w:line="276"/>
        <w:jc w:val="both"/>
        <w:rPr>
          <w:b/>
          <w:b/>
        </w:rPr>
      </w:pPr>
      <w:r>
        <w:rPr>
          <w:b/>
        </w:rPr>
      </w:r>
    </w:p>
    <w:p>
      <w:pPr>
        <w:pStyle w:val="Normal"/>
        <w:spacing w:lineRule="auto" w:line="276"/>
        <w:jc w:val="both"/>
        <w:rPr/>
      </w:pPr>
      <w:r>
        <w:rPr/>
        <w:t>a</w:t>
      </w:r>
    </w:p>
    <w:p>
      <w:pPr>
        <w:pStyle w:val="Normal"/>
        <w:spacing w:lineRule="auto" w:line="276"/>
        <w:jc w:val="both"/>
        <w:rPr/>
      </w:pPr>
      <w:r>
        <w:rPr>
          <w:b/>
          <w:bCs/>
        </w:rPr>
        <w:t>……………</w:t>
      </w:r>
      <w:r>
        <w:rPr/>
        <w:t xml:space="preserve"> </w:t>
      </w:r>
      <w:r>
        <w:rPr/>
        <w:t xml:space="preserve">z siedzibą w Lublinie, </w:t>
        <w:br/>
        <w:t>ul. ………, wpisanym do Krajowego Rejestru Sądowego pod numerem ………., zwanym dalej „Zleceniobiorcą”, reprezentowanym przez:</w:t>
      </w:r>
    </w:p>
    <w:p>
      <w:pPr>
        <w:pStyle w:val="ListParagraph"/>
        <w:numPr>
          <w:ilvl w:val="0"/>
          <w:numId w:val="8"/>
        </w:numPr>
        <w:spacing w:lineRule="auto" w:line="276"/>
        <w:jc w:val="both"/>
        <w:rPr/>
      </w:pPr>
      <w:r>
        <w:rPr>
          <w:b/>
          <w:bCs/>
        </w:rPr>
        <w:t>………</w:t>
      </w:r>
      <w:r>
        <w:rPr>
          <w:b/>
          <w:bCs/>
        </w:rPr>
        <w:t>.</w:t>
      </w:r>
      <w:r>
        <w:rPr/>
        <w:t xml:space="preserve"> – ………., PESEL: ……………….,</w:t>
      </w:r>
    </w:p>
    <w:p>
      <w:pPr>
        <w:pStyle w:val="ListParagraph"/>
        <w:numPr>
          <w:ilvl w:val="0"/>
          <w:numId w:val="8"/>
        </w:numPr>
        <w:spacing w:lineRule="auto" w:line="276"/>
        <w:jc w:val="both"/>
        <w:rPr/>
      </w:pPr>
      <w:r>
        <w:rPr>
          <w:b/>
          <w:bCs/>
        </w:rPr>
        <w:t>………</w:t>
      </w:r>
      <w:r>
        <w:rPr>
          <w:b/>
          <w:bCs/>
        </w:rPr>
        <w:t>.</w:t>
      </w:r>
      <w:r>
        <w:rPr/>
        <w:t xml:space="preserve"> – ………., PESEL: ………………..</w:t>
      </w:r>
    </w:p>
    <w:p>
      <w:pPr>
        <w:pStyle w:val="Normal"/>
        <w:spacing w:lineRule="auto" w:line="276" w:before="240" w:after="0"/>
        <w:jc w:val="center"/>
        <w:rPr>
          <w:b/>
          <w:b/>
        </w:rPr>
      </w:pPr>
      <w:r>
        <w:rPr>
          <w:b/>
        </w:rPr>
        <w:t>§ 1</w:t>
      </w:r>
    </w:p>
    <w:p>
      <w:pPr>
        <w:pStyle w:val="Normal"/>
        <w:spacing w:lineRule="auto" w:line="276"/>
        <w:jc w:val="center"/>
        <w:rPr>
          <w:b/>
          <w:b/>
        </w:rPr>
      </w:pPr>
      <w:r>
        <w:rPr>
          <w:b/>
        </w:rPr>
        <w:t>Przedmiot umowy</w:t>
      </w:r>
    </w:p>
    <w:p>
      <w:pPr>
        <w:pStyle w:val="Normal"/>
        <w:spacing w:lineRule="auto" w:line="276"/>
        <w:ind w:left="284" w:hanging="284"/>
        <w:jc w:val="both"/>
        <w:rPr/>
      </w:pPr>
      <w:r>
        <w:rPr/>
        <w:t xml:space="preserve">1. Zleceniodawca zleca Zleceniobiorcy, zgodnie z przepisami ustawy z dnia 24 kwietnia 2003 r. o działalności pożytku publicznego i o wolontariacie, zwanej dalej „ustawą”, realizację zadania publicznego pod tytułem: </w:t>
      </w:r>
      <w:r>
        <w:rPr>
          <w:b/>
          <w:bCs/>
        </w:rPr>
        <w:t xml:space="preserve">„Nieodpłatne przekazywanie artykułów spożywczych pozyskanych w trakcie realizacji Programu Operacyjnego Pomoc Żywnościowa 2014-2020 i z innych źródeł, w tym zbiórek oraz realizacja działań </w:t>
        <w:br/>
        <w:t xml:space="preserve">w ramach środków towarzyszących w 2021 r.” </w:t>
      </w:r>
      <w:r>
        <w:rPr/>
        <w:t>określonego szczegółowo w ofercie złożonej przez Zleceniobiorcę w dniu ……………… 2021 r.,</w:t>
      </w:r>
      <w:r>
        <w:rPr>
          <w:vertAlign w:val="superscript"/>
        </w:rPr>
        <w:t xml:space="preserve"> </w:t>
      </w:r>
      <w:r>
        <w:rPr/>
        <w:t>zwanego dalej „zadaniem publicznym”, a Zleceniobiorca zobowiązuje się wykonać zadanie publiczne na warunkach określonych w niniejszej umowie oraz w ofercie.</w:t>
      </w:r>
    </w:p>
    <w:p>
      <w:pPr>
        <w:pStyle w:val="Normal"/>
        <w:spacing w:lineRule="auto" w:line="276"/>
        <w:ind w:left="284" w:hanging="284"/>
        <w:jc w:val="both"/>
        <w:rPr/>
      </w:pPr>
      <w:r>
        <w:rPr/>
        <w:t>2. Zleceniodawca przyznaje Zleceniobiorcy środki finansowe, o których mowa w § 3, w formie dotacji, której celem jest realizacja zadania publicznego w sposób zgodny z postanowieniami tej umowy.</w:t>
      </w:r>
    </w:p>
    <w:p>
      <w:pPr>
        <w:pStyle w:val="Normal"/>
        <w:spacing w:lineRule="auto" w:line="276"/>
        <w:ind w:left="284" w:hanging="284"/>
        <w:jc w:val="both"/>
        <w:rPr/>
      </w:pPr>
      <w:r>
        <w:rPr/>
        <w:t xml:space="preserve">3. Niniejsza umowa jest umową o wsparcie realizacji zadania publicznego w rozumieniu </w:t>
        <w:br/>
        <w:t>art. 16 ust. 1 ustawy.</w:t>
      </w:r>
    </w:p>
    <w:p>
      <w:pPr>
        <w:pStyle w:val="Normal"/>
        <w:spacing w:lineRule="auto" w:line="276"/>
        <w:ind w:left="284" w:hanging="284"/>
        <w:jc w:val="both"/>
        <w:rPr/>
      </w:pPr>
      <w:r>
        <w:rPr/>
        <w:t>4. Wykonanie umowy nastąpi z dniem zaakceptowania przez Zleceniodawcę sprawozdania końcowego, o którym mowa w § 9 ust. 3.</w:t>
      </w:r>
    </w:p>
    <w:p>
      <w:pPr>
        <w:pStyle w:val="Normal"/>
        <w:spacing w:lineRule="auto" w:line="276"/>
        <w:ind w:left="284" w:hanging="284"/>
        <w:jc w:val="both"/>
        <w:rPr/>
      </w:pPr>
      <w:r>
        <w:rPr/>
        <w:t xml:space="preserve">5. Oferta oraz aktualizacje opisu poszczególnych działań/harmonogramu/kalkulacji przewidywanych kosztów, stanowiące załączniki do niniejszej umowy, są integralną częścią umowy w ustalonym końcowym brzmieniu.          </w:t>
      </w:r>
    </w:p>
    <w:p>
      <w:pPr>
        <w:pStyle w:val="Normal"/>
        <w:spacing w:lineRule="auto" w:line="276"/>
        <w:rPr/>
      </w:pPr>
      <w:r>
        <w:rPr/>
        <w:t>6. Osobą do kontaktów roboczych jest:</w:t>
      </w:r>
    </w:p>
    <w:p>
      <w:pPr>
        <w:pStyle w:val="Normal"/>
        <w:spacing w:lineRule="auto" w:line="276"/>
        <w:ind w:left="567" w:hanging="283"/>
        <w:jc w:val="both"/>
        <w:rPr/>
      </w:pPr>
      <w:r>
        <w:rPr/>
        <w:t>1) ze strony Zleceniodawcy: Anna Szema, tel. 081 466-53-30, adres poczty elektronicznej aszema@mopr.lublin.eu;</w:t>
      </w:r>
    </w:p>
    <w:p>
      <w:pPr>
        <w:pStyle w:val="Normal"/>
        <w:spacing w:lineRule="auto" w:line="276"/>
        <w:ind w:left="567" w:hanging="283"/>
        <w:jc w:val="both"/>
        <w:rPr/>
      </w:pPr>
      <w:r>
        <w:rPr/>
        <w:t>2) ze strony Zleceniobiorcy: ……………………………………………………………….....</w:t>
      </w:r>
    </w:p>
    <w:p>
      <w:pPr>
        <w:pStyle w:val="Normal"/>
        <w:spacing w:lineRule="auto" w:line="276"/>
        <w:ind w:left="567" w:hanging="283"/>
        <w:jc w:val="both"/>
        <w:rPr/>
      </w:pPr>
      <w:r>
        <w:rPr/>
        <w:t xml:space="preserve">     ……………………………</w:t>
      </w:r>
      <w:r>
        <w:rPr/>
        <w:t>.</w:t>
      </w:r>
    </w:p>
    <w:p>
      <w:pPr>
        <w:pStyle w:val="Normal"/>
        <w:spacing w:lineRule="auto" w:line="276"/>
        <w:ind w:firstLine="708"/>
        <w:rPr>
          <w:b/>
          <w:b/>
        </w:rPr>
      </w:pPr>
      <w:r>
        <w:rPr>
          <w:b/>
        </w:rPr>
      </w:r>
    </w:p>
    <w:p>
      <w:pPr>
        <w:pStyle w:val="Normal"/>
        <w:spacing w:lineRule="auto" w:line="276"/>
        <w:jc w:val="center"/>
        <w:rPr>
          <w:b/>
          <w:b/>
        </w:rPr>
      </w:pPr>
      <w:r>
        <w:rPr>
          <w:b/>
        </w:rPr>
        <w:t>§ 2</w:t>
      </w:r>
    </w:p>
    <w:p>
      <w:pPr>
        <w:pStyle w:val="Normal"/>
        <w:spacing w:lineRule="auto" w:line="276"/>
        <w:jc w:val="center"/>
        <w:rPr>
          <w:b/>
          <w:b/>
        </w:rPr>
      </w:pPr>
      <w:r>
        <w:rPr>
          <w:b/>
        </w:rPr>
        <w:t>Sposób wykonania zadania publicznego</w:t>
      </w:r>
    </w:p>
    <w:p>
      <w:pPr>
        <w:pStyle w:val="Normal"/>
        <w:tabs>
          <w:tab w:val="clear" w:pos="708"/>
          <w:tab w:val="left" w:pos="0" w:leader="none"/>
        </w:tabs>
        <w:spacing w:lineRule="auto" w:line="276"/>
        <w:jc w:val="both"/>
        <w:rPr/>
      </w:pPr>
      <w:r>
        <w:rPr/>
        <w:t xml:space="preserve">1. Termin realizacji zadania publicznego ustala się: </w:t>
      </w:r>
    </w:p>
    <w:p>
      <w:pPr>
        <w:pStyle w:val="Normal"/>
        <w:spacing w:lineRule="auto" w:line="276"/>
        <w:ind w:left="284" w:hanging="0"/>
        <w:jc w:val="both"/>
        <w:rPr/>
      </w:pPr>
      <w:r>
        <w:rPr/>
        <w:t xml:space="preserve">od dnia 15 października 2021 r. </w:t>
      </w:r>
    </w:p>
    <w:p>
      <w:pPr>
        <w:pStyle w:val="Normal"/>
        <w:spacing w:lineRule="auto" w:line="276"/>
        <w:ind w:firstLine="284"/>
        <w:jc w:val="both"/>
        <w:rPr/>
      </w:pPr>
      <w:r>
        <w:rPr/>
        <w:t>do dnia 16 grudnia 2021 r.</w:t>
      </w:r>
    </w:p>
    <w:p>
      <w:pPr>
        <w:pStyle w:val="Normal"/>
        <w:tabs>
          <w:tab w:val="clear" w:pos="708"/>
          <w:tab w:val="left" w:pos="0" w:leader="none"/>
        </w:tabs>
        <w:spacing w:lineRule="auto" w:line="276"/>
        <w:jc w:val="both"/>
        <w:rPr/>
      </w:pPr>
      <w:r>
        <w:rPr/>
        <w:t xml:space="preserve">2. Termin poniesienia wydatków ustala się: </w:t>
      </w:r>
    </w:p>
    <w:p>
      <w:pPr>
        <w:pStyle w:val="Normal"/>
        <w:spacing w:lineRule="auto" w:line="276"/>
        <w:ind w:firstLine="284"/>
        <w:jc w:val="both"/>
        <w:rPr/>
      </w:pPr>
      <w:r>
        <w:rPr/>
        <w:t>1) dla środków pochodzących z dotacji:</w:t>
      </w:r>
    </w:p>
    <w:p>
      <w:pPr>
        <w:pStyle w:val="Normal"/>
        <w:spacing w:lineRule="auto" w:line="276"/>
        <w:ind w:left="567" w:hanging="0"/>
        <w:jc w:val="both"/>
        <w:rPr/>
      </w:pPr>
      <w:r>
        <w:rPr/>
        <w:t xml:space="preserve">od 15 października 2021 r. </w:t>
      </w:r>
    </w:p>
    <w:p>
      <w:pPr>
        <w:pStyle w:val="Normal"/>
        <w:spacing w:lineRule="auto" w:line="276"/>
        <w:ind w:left="567" w:hanging="0"/>
        <w:jc w:val="both"/>
        <w:rPr/>
      </w:pPr>
      <w:r>
        <w:rPr/>
        <w:t>do dnia 30 grudnia 2021 r.;</w:t>
      </w:r>
    </w:p>
    <w:p>
      <w:pPr>
        <w:pStyle w:val="Normal"/>
        <w:spacing w:lineRule="auto" w:line="276"/>
        <w:ind w:left="284" w:hanging="0"/>
        <w:jc w:val="both"/>
        <w:rPr/>
      </w:pPr>
      <w:r>
        <w:rPr/>
        <w:t>2) dla innych środków finansowych:</w:t>
      </w:r>
    </w:p>
    <w:p>
      <w:pPr>
        <w:pStyle w:val="Normal"/>
        <w:spacing w:lineRule="auto" w:line="276"/>
        <w:ind w:left="567" w:hanging="0"/>
        <w:jc w:val="both"/>
        <w:rPr/>
      </w:pPr>
      <w:r>
        <w:rPr/>
        <w:t>od dnia 15 października 2021 r.</w:t>
      </w:r>
    </w:p>
    <w:p>
      <w:pPr>
        <w:pStyle w:val="Normal"/>
        <w:spacing w:lineRule="auto" w:line="276"/>
        <w:ind w:left="567" w:hanging="0"/>
        <w:jc w:val="both"/>
        <w:rPr/>
      </w:pPr>
      <w:r>
        <w:rPr/>
        <w:t>do dnia 30 grudnia 2021 r.</w:t>
      </w:r>
    </w:p>
    <w:p>
      <w:pPr>
        <w:pStyle w:val="Normal"/>
        <w:spacing w:lineRule="auto" w:line="276"/>
        <w:ind w:left="284" w:hanging="284"/>
        <w:jc w:val="both"/>
        <w:rPr/>
      </w:pPr>
      <w:r>
        <w:rPr/>
        <w:t>3. Zleceniobiorca zobowiązuje się wykonać zadanie</w:t>
      </w:r>
      <w:r>
        <w:rPr>
          <w:b/>
        </w:rPr>
        <w:t xml:space="preserve"> </w:t>
      </w:r>
      <w:r>
        <w:rPr/>
        <w:t>publiczne</w:t>
      </w:r>
      <w:r>
        <w:rPr>
          <w:b/>
        </w:rPr>
        <w:t xml:space="preserve"> </w:t>
      </w:r>
      <w:r>
        <w:rPr/>
        <w:t>zgodnie z ofertą</w:t>
        <w:br/>
        <w:t xml:space="preserve">z uwzględnieniem aktualizacji opisu poszczególnych działań/harmonogramu/kalkulacji przewidywanych kosztów/ szacunkowej kalkulacji kosztów, w terminie określonym w ust. 1. </w:t>
      </w:r>
    </w:p>
    <w:p>
      <w:pPr>
        <w:pStyle w:val="Normal"/>
        <w:spacing w:lineRule="auto" w:line="276"/>
        <w:ind w:left="284" w:hanging="284"/>
        <w:jc w:val="both"/>
        <w:rPr>
          <w:i/>
          <w:i/>
        </w:rPr>
      </w:pPr>
      <w:r>
        <w:rPr/>
        <w:t>4. Zleceniobiorca zobowiązuje się do wykorzystania środków, o których mowa w § 3 ust. 1, zgodnie z celem, na jaki je uzyskał, i na warunkach określonych w niniejszej umowie. Dopuszcza się wydatkowanie uzyskanych przychodów , w tym także odsetek bankowych od środków przekazanych przez Zleceniodawcę, na realizację zadania publicznego wyłącznie na zasadach określonych w umowie. Niewykorzystane przychody Zleceniobiorca zwraca Zleceniodawcy na zasadach określonych w § 10.</w:t>
      </w:r>
    </w:p>
    <w:p>
      <w:pPr>
        <w:pStyle w:val="Normal"/>
        <w:spacing w:lineRule="auto" w:line="276"/>
        <w:ind w:left="284" w:hanging="284"/>
        <w:jc w:val="both"/>
        <w:rPr/>
      </w:pPr>
      <w:r>
        <w:rPr/>
        <w:t>5. Wydatkowanie osiągniętych przychodów, w tym także odsetek bankowych od środków przekazanych przez Zleceniodawcę, z naruszeniem postanowień ust. 4 uznaje się za dotację pobraną w nadmiernej wysokości.</w:t>
      </w:r>
    </w:p>
    <w:p>
      <w:pPr>
        <w:pStyle w:val="Normal"/>
        <w:spacing w:lineRule="auto" w:line="276" w:before="240" w:after="0"/>
        <w:jc w:val="center"/>
        <w:rPr>
          <w:b/>
          <w:b/>
        </w:rPr>
      </w:pPr>
      <w:r>
        <w:rPr>
          <w:b/>
        </w:rPr>
        <w:t>§ 3</w:t>
      </w:r>
    </w:p>
    <w:p>
      <w:pPr>
        <w:pStyle w:val="Normal"/>
        <w:spacing w:lineRule="auto" w:line="276"/>
        <w:jc w:val="center"/>
        <w:rPr>
          <w:b/>
          <w:b/>
        </w:rPr>
      </w:pPr>
      <w:r>
        <w:rPr>
          <w:b/>
        </w:rPr>
        <w:t>Finansowanie zadania publicznego</w:t>
      </w:r>
    </w:p>
    <w:p>
      <w:pPr>
        <w:pStyle w:val="Normal"/>
        <w:spacing w:lineRule="auto" w:line="276"/>
        <w:ind w:left="284" w:hanging="284"/>
        <w:jc w:val="both"/>
        <w:rPr/>
      </w:pPr>
      <w:r>
        <w:rPr/>
        <w:t xml:space="preserve">1. Zleceniodawca zobowiązuje się do przekazania </w:t>
      </w:r>
      <w:r>
        <w:rPr>
          <w:b/>
          <w:bCs/>
        </w:rPr>
        <w:t>w 2021 r.</w:t>
      </w:r>
      <w:r>
        <w:rPr/>
        <w:t xml:space="preserve"> na realizację zadania publicznego środków finansowych do wysokości </w:t>
      </w:r>
      <w:r>
        <w:rPr>
          <w:b/>
          <w:bCs/>
        </w:rPr>
        <w:t xml:space="preserve">………………. zł </w:t>
      </w:r>
      <w:r>
        <w:rPr/>
        <w:t xml:space="preserve">(słownie: …………..), na rachunek bankowy Zleceniobiorcy: nr rachunku: </w:t>
      </w:r>
      <w:r>
        <w:rPr>
          <w:b/>
        </w:rPr>
        <w:t>…………….</w:t>
      </w:r>
      <w:r>
        <w:rPr/>
        <w:t xml:space="preserve"> - co stanowi ….% całkowitych kosztów realizacji zadania w terminie do 30 dni od dnia zawarcia niniejszej umowy </w:t>
        <w:br/>
        <w:t>w pełnej wysokości.</w:t>
      </w:r>
    </w:p>
    <w:p>
      <w:pPr>
        <w:pStyle w:val="Normal"/>
        <w:spacing w:lineRule="auto" w:line="276"/>
        <w:ind w:left="284" w:hanging="284"/>
        <w:jc w:val="both"/>
        <w:rPr/>
      </w:pPr>
      <w:r>
        <w:rPr/>
        <w:t>2. Za dzień przekazania dotacji uznaje się dzień obciążenia rachunku Zleceniodawcy.</w:t>
      </w:r>
    </w:p>
    <w:p>
      <w:pPr>
        <w:pStyle w:val="Normal"/>
        <w:spacing w:lineRule="auto" w:line="276"/>
        <w:ind w:left="284" w:hanging="284"/>
        <w:jc w:val="both"/>
        <w:rPr/>
      </w:pPr>
      <w:r>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t>
        <w:br/>
        <w:t xml:space="preserve">w § 9 ust. 3. W przypadku braku możliwości utrzymania rachunku, o którym mowa </w:t>
        <w:br/>
        <w:t>w ust. 1, Zleceniobiorca zobowiązuje się do niezwłocznego poinformowania Zleceniodawcy o nowym rachunku i jego numerze.</w:t>
      </w:r>
    </w:p>
    <w:p>
      <w:pPr>
        <w:pStyle w:val="Normal"/>
        <w:spacing w:lineRule="auto" w:line="276"/>
        <w:ind w:left="284" w:hanging="284"/>
        <w:jc w:val="both"/>
        <w:rPr/>
      </w:pPr>
      <w:r>
        <w:rPr/>
        <w:t>4. Zleceniobiorca zobowiązuje się do przekazania na realizację zadania publicznego:</w:t>
      </w:r>
    </w:p>
    <w:p>
      <w:pPr>
        <w:pStyle w:val="Normal"/>
        <w:spacing w:lineRule="auto" w:line="276"/>
        <w:ind w:left="567" w:hanging="284"/>
        <w:jc w:val="both"/>
        <w:rPr/>
      </w:pPr>
      <w:r>
        <w:rPr/>
        <w:t>1) innych środków finansowych w wysokości……….. (słownie)………;</w:t>
      </w:r>
    </w:p>
    <w:p>
      <w:pPr>
        <w:pStyle w:val="Normal"/>
        <w:spacing w:lineRule="auto" w:line="276"/>
        <w:ind w:left="567" w:hanging="284"/>
        <w:jc w:val="both"/>
        <w:rPr/>
      </w:pPr>
      <w:r>
        <w:rPr/>
        <w:t>2) wkładu osobowego o wartości ……………………. (słownie)………;</w:t>
      </w:r>
    </w:p>
    <w:p>
      <w:pPr>
        <w:pStyle w:val="Normal"/>
        <w:spacing w:lineRule="auto" w:line="276"/>
        <w:ind w:left="567" w:hanging="284"/>
        <w:jc w:val="both"/>
        <w:rPr/>
      </w:pPr>
      <w:r>
        <w:rPr/>
        <w:t>3) wkładu rzeczowego o wartości …………………… (słownie)……….</w:t>
      </w:r>
    </w:p>
    <w:p>
      <w:pPr>
        <w:pStyle w:val="Normal"/>
        <w:spacing w:lineRule="auto" w:line="276"/>
        <w:ind w:left="284" w:hanging="284"/>
        <w:jc w:val="both"/>
        <w:rPr/>
      </w:pPr>
      <w:r>
        <w:rPr/>
        <w:t>5. Całkowity koszt zadania publicznego stanowi sumę kwot dotacji i środków, o których mowa w ust. 4, i wynosi łącznie ……. (słownie)…….</w:t>
      </w:r>
    </w:p>
    <w:p>
      <w:pPr>
        <w:pStyle w:val="Normal"/>
        <w:spacing w:lineRule="auto" w:line="276"/>
        <w:ind w:left="284" w:hanging="284"/>
        <w:jc w:val="both"/>
        <w:rPr/>
      </w:pPr>
      <w:r>
        <w:rPr/>
        <w:t>6. Wysokość środków ze źródeł, o których mowa w ust. 4 pkt 1 oraz wartość wkładu osobowego oraz wkładu rzeczowego, o którym mowa w ust. 4 pkt 2 i 3 może się zmienić, o ile nie zmniejszy się wartość tych środków w stosunku do wydatkowanej kwoty dotacji.</w:t>
      </w:r>
    </w:p>
    <w:p>
      <w:pPr>
        <w:pStyle w:val="Normal"/>
        <w:spacing w:lineRule="auto" w:line="276"/>
        <w:ind w:left="284" w:hanging="284"/>
        <w:jc w:val="both"/>
        <w:rPr/>
      </w:pPr>
      <w:r>
        <w:rPr/>
        <w:t>7. Naruszenie postanowień, o których mowa w ust. 4-6, uważa się za pobranie dotacji</w:t>
        <w:br/>
        <w:t xml:space="preserve">w nadmiernej wysokości. </w:t>
      </w:r>
    </w:p>
    <w:p>
      <w:pPr>
        <w:pStyle w:val="Normal"/>
        <w:tabs>
          <w:tab w:val="clear" w:pos="708"/>
          <w:tab w:val="left" w:pos="284" w:leader="none"/>
        </w:tabs>
        <w:suppressAutoHyphens w:val="true"/>
        <w:spacing w:lineRule="auto" w:line="276"/>
        <w:ind w:left="720" w:hanging="0"/>
        <w:jc w:val="both"/>
        <w:rPr/>
      </w:pPr>
      <w:r>
        <w:rPr/>
      </w:r>
    </w:p>
    <w:p>
      <w:pPr>
        <w:pStyle w:val="Normal"/>
        <w:spacing w:lineRule="auto" w:line="276"/>
        <w:jc w:val="center"/>
        <w:rPr>
          <w:b/>
          <w:b/>
        </w:rPr>
      </w:pPr>
      <w:r>
        <w:rPr>
          <w:b/>
        </w:rPr>
        <w:t>§ 4</w:t>
      </w:r>
    </w:p>
    <w:p>
      <w:pPr>
        <w:pStyle w:val="Normal"/>
        <w:tabs>
          <w:tab w:val="clear" w:pos="708"/>
          <w:tab w:val="left" w:pos="180" w:leader="none"/>
        </w:tabs>
        <w:spacing w:lineRule="auto" w:line="276"/>
        <w:ind w:left="284" w:hanging="0"/>
        <w:jc w:val="center"/>
        <w:rPr>
          <w:b/>
          <w:b/>
        </w:rPr>
      </w:pPr>
      <w:r>
        <w:rPr>
          <w:b/>
        </w:rPr>
        <w:t>Wykonanie części zadania przez podmiot niebędący stroną umowy</w:t>
        <w:br/>
        <w:t>(zgodnie z art. 16 ust. 4 ustawy)</w:t>
      </w:r>
    </w:p>
    <w:p>
      <w:pPr>
        <w:pStyle w:val="Normal"/>
        <w:tabs>
          <w:tab w:val="clear" w:pos="708"/>
          <w:tab w:val="left" w:pos="180" w:leader="none"/>
        </w:tabs>
        <w:spacing w:lineRule="auto" w:line="276"/>
        <w:jc w:val="both"/>
        <w:rPr/>
      </w:pPr>
      <w:r>
        <w:rPr/>
        <w:t>Zleceniodawca nie wyraża zgody na realizację zadania publicznego ani jego części przez podmiot, który nie jest oferentem i stroną niniejszej umowy.</w:t>
      </w:r>
    </w:p>
    <w:p>
      <w:pPr>
        <w:pStyle w:val="Normal"/>
        <w:spacing w:lineRule="auto" w:line="276"/>
        <w:jc w:val="center"/>
        <w:rPr>
          <w:b/>
          <w:b/>
        </w:rPr>
      </w:pPr>
      <w:r>
        <w:rPr>
          <w:b/>
        </w:rPr>
      </w:r>
    </w:p>
    <w:p>
      <w:pPr>
        <w:pStyle w:val="Normal"/>
        <w:spacing w:lineRule="auto" w:line="276"/>
        <w:jc w:val="center"/>
        <w:rPr>
          <w:b/>
          <w:b/>
        </w:rPr>
      </w:pPr>
      <w:r>
        <w:rPr>
          <w:b/>
        </w:rPr>
        <w:t>§ 5</w:t>
      </w:r>
    </w:p>
    <w:p>
      <w:pPr>
        <w:pStyle w:val="Normal"/>
        <w:spacing w:lineRule="auto" w:line="276"/>
        <w:jc w:val="center"/>
        <w:rPr>
          <w:b/>
          <w:b/>
        </w:rPr>
      </w:pPr>
      <w:r>
        <w:rPr>
          <w:b/>
        </w:rPr>
        <w:t>Dokonywanie przesunięć w zakresie ponoszonych wydatków</w:t>
      </w:r>
    </w:p>
    <w:p>
      <w:pPr>
        <w:pStyle w:val="BodyText2"/>
        <w:numPr>
          <w:ilvl w:val="0"/>
          <w:numId w:val="2"/>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 xml:space="preserve">Dopuszcza się dokonywanie przesunięć pomiędzy poszczególnymi pozycjami kosztów określonymi w kalkulacji przewidywanych kosztów, w wielkościach i na zasadach określonych w ogłoszeniu o konkursie. </w:t>
      </w:r>
    </w:p>
    <w:p>
      <w:pPr>
        <w:pStyle w:val="BodyText2"/>
        <w:numPr>
          <w:ilvl w:val="0"/>
          <w:numId w:val="2"/>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 xml:space="preserve">Naruszenie postanowienia, o którym mowa w ust. 1, uważa się za pobranie części dotacji </w:t>
        <w:br/>
        <w:t>w nadmiernej wysokości.</w:t>
      </w:r>
    </w:p>
    <w:p>
      <w:pPr>
        <w:pStyle w:val="Normal"/>
        <w:spacing w:lineRule="auto" w:line="276"/>
        <w:jc w:val="center"/>
        <w:rPr>
          <w:b/>
          <w:b/>
        </w:rPr>
      </w:pPr>
      <w:r>
        <w:rPr>
          <w:b/>
        </w:rPr>
      </w:r>
    </w:p>
    <w:p>
      <w:pPr>
        <w:pStyle w:val="Normal"/>
        <w:spacing w:lineRule="auto" w:line="276"/>
        <w:jc w:val="center"/>
        <w:rPr>
          <w:b/>
          <w:b/>
        </w:rPr>
      </w:pPr>
      <w:r>
        <w:rPr>
          <w:b/>
        </w:rPr>
        <w:t>§ 6</w:t>
      </w:r>
    </w:p>
    <w:p>
      <w:pPr>
        <w:pStyle w:val="Normal"/>
        <w:spacing w:lineRule="auto" w:line="276"/>
        <w:jc w:val="center"/>
        <w:rPr>
          <w:b/>
          <w:b/>
        </w:rPr>
      </w:pPr>
      <w:r>
        <w:rPr>
          <w:b/>
        </w:rPr>
        <w:t>Dokumentacja związana z realizacją zadania publicznego</w:t>
      </w:r>
    </w:p>
    <w:p>
      <w:pPr>
        <w:pStyle w:val="Normal"/>
        <w:spacing w:lineRule="auto" w:line="276"/>
        <w:ind w:left="284" w:hanging="284"/>
        <w:jc w:val="both"/>
        <w:rPr/>
      </w:pPr>
      <w:r>
        <w:rPr/>
        <w:t xml:space="preserve">1. Zleceniobiorca jest zobowiązany do prowadzenia wyodrębnionej dokumentacji finansowo-księgowej i ewidencji księgowej zadania publicznego oraz jej opisywania zgodnie </w:t>
        <w:br/>
        <w:t xml:space="preserve">z zasadami wynikającymi z ustawy z dnia 29 września 1994 r. o rachunkowości, w sposób umożliwiający identyfikację poszczególnych operacji księgowych. </w:t>
      </w:r>
    </w:p>
    <w:p>
      <w:pPr>
        <w:pStyle w:val="Normal"/>
        <w:spacing w:lineRule="auto" w:line="276"/>
        <w:ind w:left="284" w:hanging="284"/>
        <w:jc w:val="both"/>
        <w:rPr/>
      </w:pPr>
      <w:r>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Normal"/>
        <w:spacing w:before="0" w:after="120"/>
        <w:ind w:left="284" w:hanging="284"/>
        <w:jc w:val="both"/>
        <w:rPr/>
      </w:pPr>
      <w:r>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pPr>
        <w:pStyle w:val="Normal"/>
        <w:spacing w:before="0" w:after="120"/>
        <w:ind w:left="284" w:hanging="284"/>
        <w:jc w:val="both"/>
        <w:rPr/>
      </w:pPr>
      <w:r>
        <w:rPr/>
        <w:t xml:space="preserve">4. </w:t>
      </w:r>
      <w:r>
        <w:rPr>
          <w:shd w:fill="FFFFFF" w:val="clear"/>
        </w:rPr>
        <w:t>Dowodem poniesienia wydatku jest opłacona faktura VAT lub inny dokument księgowy o równoważnej wartości dowodowej wraz z dowodami zapłaty. Dowodem zapłaty w przypadku płatności gotówkowej jest dokument księgowy z adnotacją np. „zapłacono gotówką/forma płatności: gotówka” lub inny dokument potwierdzający rozchód z kasy Zleceniobiorcy. Dowodem zapłaty w przypadku płatności bezgotówkowej jest odpowiedni dokument bankowy dokumentujący obciążenie rachunku. Za datę poniesienia wydatku przyjmuje się dla wydatków dokonanych przelewem lub kartą płatniczą – datę obciążenia rachunku, natomiast dla wydatków dokonanych gotówką – datę faktycznie dokonanej płatności.</w:t>
      </w:r>
    </w:p>
    <w:p>
      <w:pPr>
        <w:pStyle w:val="ListParagraph"/>
        <w:numPr>
          <w:ilvl w:val="2"/>
          <w:numId w:val="9"/>
        </w:numPr>
        <w:spacing w:lineRule="auto" w:line="276"/>
        <w:ind w:left="284" w:hanging="360"/>
        <w:jc w:val="both"/>
        <w:rPr/>
      </w:pPr>
      <w:r>
        <w:rPr>
          <w:shd w:fill="FFFFFF" w:val="clear"/>
        </w:rPr>
        <w:t>W opisie umieszczonym na dowodach księgowych powinny znaleźć się następujące elementy:</w:t>
      </w:r>
    </w:p>
    <w:p>
      <w:pPr>
        <w:pStyle w:val="Normal"/>
        <w:numPr>
          <w:ilvl w:val="0"/>
          <w:numId w:val="10"/>
        </w:numPr>
        <w:suppressAutoHyphens w:val="true"/>
        <w:spacing w:lineRule="auto" w:line="276"/>
        <w:jc w:val="both"/>
        <w:rPr>
          <w:shd w:fill="FFFFFF" w:val="clear"/>
        </w:rPr>
      </w:pPr>
      <w:r>
        <w:rPr>
          <w:shd w:fill="FFFFFF" w:val="clear"/>
        </w:rPr>
        <w:t>pieczęć Podmiotu,</w:t>
      </w:r>
    </w:p>
    <w:p>
      <w:pPr>
        <w:pStyle w:val="Normal"/>
        <w:numPr>
          <w:ilvl w:val="0"/>
          <w:numId w:val="10"/>
        </w:numPr>
        <w:suppressAutoHyphens w:val="true"/>
        <w:spacing w:lineRule="auto" w:line="276"/>
        <w:jc w:val="both"/>
        <w:rPr>
          <w:shd w:fill="FFFFFF" w:val="clear"/>
        </w:rPr>
      </w:pPr>
      <w:r>
        <w:rPr>
          <w:shd w:fill="FFFFFF" w:val="clear"/>
        </w:rPr>
        <w:t>opis merytoryczny dokonanej operacji z podpisem osoby koordynującej zadanie,</w:t>
      </w:r>
    </w:p>
    <w:p>
      <w:pPr>
        <w:pStyle w:val="Normal"/>
        <w:numPr>
          <w:ilvl w:val="0"/>
          <w:numId w:val="10"/>
        </w:numPr>
        <w:suppressAutoHyphens w:val="true"/>
        <w:spacing w:lineRule="auto" w:line="276"/>
        <w:jc w:val="both"/>
        <w:rPr>
          <w:shd w:fill="FFFFFF" w:val="clear"/>
        </w:rPr>
      </w:pPr>
      <w:r>
        <w:rPr>
          <w:shd w:fill="FFFFFF" w:val="clear"/>
        </w:rPr>
        <w:t>podpisy osób sprawdzających dokument pod względem:</w:t>
      </w:r>
    </w:p>
    <w:p>
      <w:pPr>
        <w:pStyle w:val="Normal"/>
        <w:numPr>
          <w:ilvl w:val="0"/>
          <w:numId w:val="11"/>
        </w:numPr>
        <w:suppressAutoHyphens w:val="true"/>
        <w:spacing w:lineRule="auto" w:line="276"/>
        <w:jc w:val="both"/>
        <w:rPr>
          <w:shd w:fill="FFFFFF" w:val="clear"/>
        </w:rPr>
      </w:pPr>
      <w:r>
        <w:rPr>
          <w:shd w:fill="FFFFFF" w:val="clear"/>
        </w:rPr>
        <w:t>merytorycznym,</w:t>
      </w:r>
    </w:p>
    <w:p>
      <w:pPr>
        <w:pStyle w:val="Normal"/>
        <w:numPr>
          <w:ilvl w:val="0"/>
          <w:numId w:val="11"/>
        </w:numPr>
        <w:suppressAutoHyphens w:val="true"/>
        <w:spacing w:lineRule="auto" w:line="276"/>
        <w:jc w:val="both"/>
        <w:rPr>
          <w:shd w:fill="FFFFFF" w:val="clear"/>
        </w:rPr>
      </w:pPr>
      <w:r>
        <w:rPr>
          <w:shd w:fill="FFFFFF" w:val="clear"/>
        </w:rPr>
        <w:t>formalno-rachunkowym,</w:t>
      </w:r>
    </w:p>
    <w:p>
      <w:pPr>
        <w:pStyle w:val="Normal"/>
        <w:numPr>
          <w:ilvl w:val="0"/>
          <w:numId w:val="11"/>
        </w:numPr>
        <w:suppressAutoHyphens w:val="true"/>
        <w:spacing w:lineRule="auto" w:line="276"/>
        <w:jc w:val="both"/>
        <w:rPr>
          <w:shd w:fill="FFFFFF" w:val="clear"/>
        </w:rPr>
      </w:pPr>
      <w:r>
        <w:rPr>
          <w:shd w:fill="FFFFFF" w:val="clear"/>
        </w:rPr>
        <w:t>zatwierdzających wydatek do realizacji (głównego księgowego i kierownika jednostki lub osoby odpowiadającej za finanse Zleceniobiorcy),</w:t>
      </w:r>
    </w:p>
    <w:p>
      <w:pPr>
        <w:pStyle w:val="Normal"/>
        <w:numPr>
          <w:ilvl w:val="0"/>
          <w:numId w:val="10"/>
        </w:numPr>
        <w:suppressAutoHyphens w:val="true"/>
        <w:spacing w:lineRule="auto" w:line="276"/>
        <w:jc w:val="both"/>
        <w:rPr>
          <w:shd w:fill="FFFFFF" w:val="clear"/>
        </w:rPr>
      </w:pPr>
      <w:r>
        <w:rPr>
          <w:shd w:fill="FFFFFF" w:val="clear"/>
        </w:rPr>
        <w:t>informację o źródłach sfinansowania danego wydatku (wysokość wydatku pokrytego z dotacji i wydatku pokrytego z innych źródeł),</w:t>
      </w:r>
    </w:p>
    <w:p>
      <w:pPr>
        <w:pStyle w:val="Normal"/>
        <w:numPr>
          <w:ilvl w:val="0"/>
          <w:numId w:val="10"/>
        </w:numPr>
        <w:suppressAutoHyphens w:val="true"/>
        <w:spacing w:lineRule="auto" w:line="276"/>
        <w:jc w:val="both"/>
        <w:rPr>
          <w:shd w:fill="FFFFFF" w:val="clear"/>
        </w:rPr>
      </w:pPr>
      <w:r>
        <w:rPr>
          <w:shd w:fill="FFFFFF" w:val="clear"/>
        </w:rPr>
        <w:t>informację o formie i terminie realizacji płatności:</w:t>
      </w:r>
    </w:p>
    <w:p>
      <w:pPr>
        <w:pStyle w:val="Normal"/>
        <w:numPr>
          <w:ilvl w:val="0"/>
          <w:numId w:val="12"/>
        </w:numPr>
        <w:suppressAutoHyphens w:val="true"/>
        <w:spacing w:lineRule="auto" w:line="276"/>
        <w:jc w:val="both"/>
        <w:rPr>
          <w:shd w:fill="FFFFFF" w:val="clear"/>
        </w:rPr>
      </w:pPr>
      <w:r>
        <w:rPr>
          <w:shd w:fill="FFFFFF" w:val="clear"/>
        </w:rPr>
        <w:t>przelew,</w:t>
      </w:r>
    </w:p>
    <w:p>
      <w:pPr>
        <w:pStyle w:val="Normal"/>
        <w:numPr>
          <w:ilvl w:val="0"/>
          <w:numId w:val="12"/>
        </w:numPr>
        <w:suppressAutoHyphens w:val="true"/>
        <w:spacing w:lineRule="auto" w:line="276"/>
        <w:jc w:val="both"/>
        <w:rPr>
          <w:shd w:fill="FFFFFF" w:val="clear"/>
        </w:rPr>
      </w:pPr>
      <w:r>
        <w:rPr>
          <w:shd w:fill="FFFFFF" w:val="clear"/>
        </w:rPr>
        <w:t>gotówka,</w:t>
      </w:r>
    </w:p>
    <w:p>
      <w:pPr>
        <w:pStyle w:val="ListParagraph"/>
        <w:numPr>
          <w:ilvl w:val="0"/>
          <w:numId w:val="10"/>
        </w:numPr>
        <w:suppressAutoHyphens w:val="true"/>
        <w:spacing w:lineRule="auto" w:line="276"/>
        <w:jc w:val="both"/>
        <w:rPr>
          <w:shd w:fill="FFFFFF" w:val="clear"/>
        </w:rPr>
      </w:pPr>
      <w:r>
        <w:rPr>
          <w:shd w:fill="FFFFFF" w:val="clear"/>
        </w:rPr>
        <w:t>adnotację o treści:</w:t>
      </w:r>
    </w:p>
    <w:p>
      <w:pPr>
        <w:pStyle w:val="Normal"/>
        <w:ind w:left="708" w:hanging="0"/>
        <w:jc w:val="both"/>
        <w:rPr>
          <w:shd w:fill="FFFFFF" w:val="clear"/>
        </w:rPr>
      </w:pPr>
      <w:r>
        <w:rPr>
          <w:shd w:fill="FFFFFF" w:val="clear"/>
        </w:rPr>
        <w:t>„</w:t>
      </w:r>
      <w:r>
        <w:rPr>
          <w:shd w:fill="FFFFFF" w:val="clear"/>
        </w:rPr>
        <w:t>Sfinansowano ze środków …………………………………………….</w:t>
      </w:r>
    </w:p>
    <w:p>
      <w:pPr>
        <w:pStyle w:val="Normal"/>
        <w:ind w:left="708" w:hanging="0"/>
        <w:jc w:val="both"/>
        <w:rPr>
          <w:shd w:fill="FFFFFF" w:val="clear"/>
        </w:rPr>
      </w:pPr>
      <w:r>
        <w:rPr>
          <w:shd w:fill="FFFFFF" w:val="clear"/>
        </w:rPr>
        <w:t>Umowa nr ………………………………………………………………..</w:t>
      </w:r>
    </w:p>
    <w:p>
      <w:pPr>
        <w:pStyle w:val="Normal"/>
        <w:ind w:left="708" w:hanging="0"/>
        <w:jc w:val="both"/>
        <w:rPr>
          <w:shd w:fill="FFFFFF" w:val="clear"/>
        </w:rPr>
      </w:pPr>
      <w:r>
        <w:rPr>
          <w:shd w:fill="FFFFFF" w:val="clear"/>
        </w:rPr>
        <w:t>z dnia ……………………………………………………………………..</w:t>
      </w:r>
    </w:p>
    <w:p>
      <w:pPr>
        <w:pStyle w:val="Normal"/>
        <w:ind w:left="708" w:hanging="0"/>
        <w:jc w:val="both"/>
        <w:rPr>
          <w:shd w:fill="FFFFFF" w:val="clear"/>
        </w:rPr>
      </w:pPr>
      <w:r>
        <w:rPr>
          <w:shd w:fill="FFFFFF" w:val="clear"/>
        </w:rPr>
        <w:t>Pozycja kosztorysu ……………………………………………………..</w:t>
      </w:r>
    </w:p>
    <w:p>
      <w:pPr>
        <w:pStyle w:val="Normal"/>
        <w:ind w:left="708" w:hanging="0"/>
        <w:jc w:val="both"/>
        <w:rPr>
          <w:shd w:fill="FFFFFF" w:val="clear"/>
        </w:rPr>
      </w:pPr>
      <w:r>
        <w:rPr>
          <w:shd w:fill="FFFFFF" w:val="clear"/>
        </w:rPr>
        <w:t>Kwota …………………………………………………………………….</w:t>
      </w:r>
    </w:p>
    <w:p>
      <w:pPr>
        <w:pStyle w:val="Normal"/>
        <w:ind w:left="708" w:hanging="0"/>
        <w:jc w:val="both"/>
        <w:rPr>
          <w:shd w:fill="FFFFFF" w:val="clear"/>
        </w:rPr>
      </w:pPr>
      <w:r>
        <w:rPr>
          <w:shd w:fill="FFFFFF" w:val="clear"/>
        </w:rPr>
        <w:t>Data …………………………. Podpis ………………………………….</w:t>
      </w:r>
    </w:p>
    <w:p>
      <w:pPr>
        <w:pStyle w:val="Normal"/>
        <w:spacing w:lineRule="auto" w:line="276"/>
        <w:jc w:val="center"/>
        <w:rPr>
          <w:b/>
          <w:b/>
        </w:rPr>
      </w:pPr>
      <w:r>
        <w:rPr>
          <w:b/>
        </w:rPr>
      </w:r>
    </w:p>
    <w:p>
      <w:pPr>
        <w:pStyle w:val="Normal"/>
        <w:spacing w:lineRule="auto" w:line="276"/>
        <w:jc w:val="center"/>
        <w:rPr>
          <w:b/>
          <w:b/>
        </w:rPr>
      </w:pPr>
      <w:r>
        <w:rPr>
          <w:b/>
        </w:rPr>
        <w:t>§ 7</w:t>
      </w:r>
    </w:p>
    <w:p>
      <w:pPr>
        <w:pStyle w:val="Normal"/>
        <w:spacing w:lineRule="auto" w:line="276"/>
        <w:jc w:val="center"/>
        <w:rPr>
          <w:b/>
          <w:b/>
        </w:rPr>
      </w:pPr>
      <w:r>
        <w:rPr>
          <w:b/>
        </w:rPr>
        <w:t>Obowiązki i uprawnienia informacyjne</w:t>
      </w:r>
      <w:r>
        <w:rPr/>
        <w:t xml:space="preserve"> </w:t>
      </w:r>
    </w:p>
    <w:p>
      <w:pPr>
        <w:pStyle w:val="Normal"/>
        <w:tabs>
          <w:tab w:val="clear" w:pos="708"/>
          <w:tab w:val="left" w:pos="540" w:leader="none"/>
        </w:tabs>
        <w:spacing w:lineRule="auto" w:line="276"/>
        <w:ind w:left="284" w:hanging="284"/>
        <w:jc w:val="both"/>
        <w:rPr/>
      </w:pPr>
      <w:r>
        <w:rPr/>
        <w:t xml:space="preserve">1. Zleceniobiorca zobowiązuje się do umieszczania Zleceniodawcy i informacji, </w:t>
        <w:br/>
        <w:t xml:space="preserve">że zadanie publiczne jest finansowane ze środków otrzymanych od Zleceniodawcy, </w:t>
        <w:br/>
        <w:t xml:space="preserve">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pPr>
        <w:pStyle w:val="BodyText2"/>
        <w:spacing w:lineRule="auto" w:line="276"/>
        <w:ind w:left="284" w:hanging="284"/>
        <w:rPr>
          <w:rFonts w:ascii="Times New Roman" w:hAnsi="Times New Roman"/>
        </w:rPr>
      </w:pPr>
      <w:r>
        <w:rPr>
          <w:rFonts w:ascii="Times New Roman" w:hAnsi="Times New Roma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pPr>
        <w:pStyle w:val="Normal"/>
        <w:spacing w:lineRule="auto" w:line="276"/>
        <w:ind w:left="284" w:hanging="284"/>
        <w:jc w:val="both"/>
        <w:rPr/>
      </w:pPr>
      <w:r>
        <w:rPr/>
        <w:t>3. Zleceniobiorca jest zobowiązany informować na bieżąco, jednak nie później niż w terminie 14 dni od daty zaistnienia zmian, w szczególności o:</w:t>
      </w:r>
    </w:p>
    <w:p>
      <w:pPr>
        <w:pStyle w:val="Normal"/>
        <w:numPr>
          <w:ilvl w:val="0"/>
          <w:numId w:val="6"/>
        </w:numPr>
        <w:spacing w:lineRule="auto" w:line="276"/>
        <w:ind w:left="709" w:hanging="425"/>
        <w:jc w:val="both"/>
        <w:rPr/>
      </w:pPr>
      <w:r>
        <w:rPr/>
        <w:t>zmianie adresu siedziby oraz adresów i numerów telefonów osób upoważnionych do reprezentacji;</w:t>
      </w:r>
    </w:p>
    <w:p>
      <w:pPr>
        <w:pStyle w:val="Normal"/>
        <w:numPr>
          <w:ilvl w:val="0"/>
          <w:numId w:val="6"/>
        </w:numPr>
        <w:spacing w:lineRule="auto" w:line="276"/>
        <w:ind w:left="284" w:hanging="0"/>
        <w:jc w:val="both"/>
        <w:rPr>
          <w:b/>
          <w:b/>
        </w:rPr>
      </w:pPr>
      <w:r>
        <w:rPr/>
        <w:t>ogłoszeniu likwidacji lub wszczęciu postępowania upadłościowego.</w:t>
      </w:r>
    </w:p>
    <w:p>
      <w:pPr>
        <w:pStyle w:val="Normal"/>
        <w:spacing w:lineRule="auto" w:line="276"/>
        <w:ind w:left="284" w:hanging="0"/>
        <w:jc w:val="both"/>
        <w:rPr>
          <w:b/>
          <w:b/>
        </w:rPr>
      </w:pPr>
      <w:r>
        <w:rPr>
          <w:b/>
        </w:rPr>
      </w:r>
    </w:p>
    <w:p>
      <w:pPr>
        <w:pStyle w:val="Normal"/>
        <w:spacing w:lineRule="auto" w:line="276"/>
        <w:jc w:val="center"/>
        <w:rPr>
          <w:b/>
          <w:b/>
        </w:rPr>
      </w:pPr>
      <w:r>
        <w:rPr>
          <w:b/>
        </w:rPr>
        <w:t>§ 8</w:t>
      </w:r>
    </w:p>
    <w:p>
      <w:pPr>
        <w:pStyle w:val="Nagwek5"/>
        <w:spacing w:lineRule="auto" w:line="276" w:before="0" w:after="0"/>
        <w:jc w:val="center"/>
        <w:rPr>
          <w:sz w:val="24"/>
          <w:szCs w:val="24"/>
        </w:rPr>
      </w:pPr>
      <w:r>
        <w:rPr>
          <w:i w:val="false"/>
          <w:sz w:val="24"/>
          <w:szCs w:val="24"/>
        </w:rPr>
        <w:t>Kontrola zadania publicznego</w:t>
      </w:r>
    </w:p>
    <w:p>
      <w:pPr>
        <w:pStyle w:val="Normal"/>
        <w:tabs>
          <w:tab w:val="clear" w:pos="708"/>
          <w:tab w:val="left" w:pos="180" w:leader="none"/>
        </w:tabs>
        <w:spacing w:lineRule="auto" w:line="276"/>
        <w:ind w:left="284" w:hanging="284"/>
        <w:jc w:val="both"/>
        <w:rPr/>
      </w:pPr>
      <w:r>
        <w:rPr/>
        <w:t>1. Zleceniodawca sprawuje kontrolę prawidłowości wykonywania zadania publicznego przez Zleceniobiorcę, w tym wydatkowania przekazanej dotacji, o której mowa w § 3 ust. 1. Kontrola może być przeprowadzona w toku realizacji zadania publicznego oraz po jego zakończeniu do czasu ustania zobowiązania, o którym mowa w § 6 ust. 2.</w:t>
      </w:r>
    </w:p>
    <w:p>
      <w:pPr>
        <w:pStyle w:val="Normal"/>
        <w:numPr>
          <w:ilvl w:val="0"/>
          <w:numId w:val="5"/>
        </w:numPr>
        <w:tabs>
          <w:tab w:val="clear" w:pos="708"/>
          <w:tab w:val="left" w:pos="284" w:leader="none"/>
        </w:tabs>
        <w:spacing w:lineRule="auto" w:line="276"/>
        <w:ind w:left="284" w:hanging="284"/>
        <w:jc w:val="both"/>
        <w:rPr/>
      </w:pPr>
      <w:r>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pPr>
        <w:pStyle w:val="BodyText2"/>
        <w:numPr>
          <w:ilvl w:val="0"/>
          <w:numId w:val="5"/>
        </w:numPr>
        <w:tabs>
          <w:tab w:val="clear" w:pos="708"/>
          <w:tab w:val="left" w:pos="284" w:leader="none"/>
        </w:tabs>
        <w:spacing w:lineRule="auto" w:line="276"/>
        <w:ind w:left="284" w:hanging="284"/>
        <w:rPr>
          <w:rFonts w:ascii="Times New Roman" w:hAnsi="Times New Roman"/>
        </w:rPr>
      </w:pPr>
      <w:r>
        <w:rPr>
          <w:rFonts w:ascii="Times New Roman" w:hAnsi="Times New Roman"/>
        </w:rPr>
        <w:t>Prawo kontroli przysługuje osobom upoważnionym przez Zleceniodawcę zarówno w siedzibie Zleceniobiorcy, jak i w miejscu realizacji zadania publicznego.</w:t>
      </w:r>
    </w:p>
    <w:p>
      <w:pPr>
        <w:pStyle w:val="BodyText2"/>
        <w:numPr>
          <w:ilvl w:val="0"/>
          <w:numId w:val="5"/>
        </w:numPr>
        <w:tabs>
          <w:tab w:val="clear" w:pos="708"/>
          <w:tab w:val="left" w:pos="284" w:leader="none"/>
        </w:tabs>
        <w:spacing w:lineRule="auto" w:line="276"/>
        <w:ind w:left="284" w:hanging="284"/>
        <w:rPr>
          <w:rFonts w:ascii="Times New Roman" w:hAnsi="Times New Roman"/>
        </w:rPr>
      </w:pPr>
      <w:r>
        <w:rPr>
          <w:rFonts w:ascii="Times New Roman" w:hAnsi="Times New Roman"/>
        </w:rPr>
        <w:t>Kontrola lub poszczególne jej czynności mogą być przeprowadzane również w siedzibie Zleceniodawcy.</w:t>
      </w:r>
    </w:p>
    <w:p>
      <w:pPr>
        <w:pStyle w:val="BodyText2"/>
        <w:numPr>
          <w:ilvl w:val="0"/>
          <w:numId w:val="5"/>
        </w:numPr>
        <w:tabs>
          <w:tab w:val="clear" w:pos="708"/>
          <w:tab w:val="left" w:pos="284" w:leader="none"/>
        </w:tabs>
        <w:spacing w:lineRule="auto" w:line="276"/>
        <w:ind w:left="284" w:hanging="284"/>
        <w:rPr>
          <w:rFonts w:ascii="Times New Roman" w:hAnsi="Times New Roman"/>
        </w:rPr>
      </w:pPr>
      <w:r>
        <w:rPr>
          <w:rFonts w:ascii="Times New Roman" w:hAnsi="Times New Roman"/>
        </w:rPr>
        <w:t>O wynikach kontroli, o której mowa w ust. 1, Zleceniodawca poinformuje Zleceniobiorcę, a w przypadku stwierdzenia nieprawidłowości przekaże mu wnioski i zalecenia mające na celu ich usunięcie.</w:t>
      </w:r>
    </w:p>
    <w:p>
      <w:pPr>
        <w:pStyle w:val="BodyText2"/>
        <w:numPr>
          <w:ilvl w:val="0"/>
          <w:numId w:val="5"/>
        </w:numPr>
        <w:tabs>
          <w:tab w:val="clear" w:pos="708"/>
          <w:tab w:val="left" w:pos="284" w:leader="none"/>
        </w:tabs>
        <w:spacing w:lineRule="auto" w:line="276"/>
        <w:ind w:left="284" w:hanging="284"/>
        <w:rPr>
          <w:rFonts w:ascii="Times New Roman" w:hAnsi="Times New Roman"/>
          <w:u w:val="single"/>
        </w:rPr>
      </w:pPr>
      <w:r>
        <w:rPr>
          <w:rFonts w:ascii="Times New Roman" w:hAnsi="Times New Roman"/>
        </w:rPr>
        <w:t>Zleceniobiorca jest zobowiązany w terminie nie dłuższym niż 14 dni od dnia otrzymania wniosków i zaleceń, o których mowa w ust. 5, do ich wykonania i powiadomienia o sposobie ich wykonania Zleceniodawcy.</w:t>
      </w:r>
    </w:p>
    <w:p>
      <w:pPr>
        <w:pStyle w:val="BodyText2"/>
        <w:numPr>
          <w:ilvl w:val="0"/>
          <w:numId w:val="5"/>
        </w:numPr>
        <w:tabs>
          <w:tab w:val="clear" w:pos="708"/>
          <w:tab w:val="left" w:pos="284" w:leader="none"/>
        </w:tabs>
        <w:spacing w:lineRule="auto" w:line="276"/>
        <w:ind w:left="284" w:hanging="284"/>
        <w:rPr>
          <w:rFonts w:ascii="Times New Roman" w:hAnsi="Times New Roman"/>
          <w:u w:val="single"/>
        </w:rPr>
      </w:pPr>
      <w:r>
        <w:rPr>
          <w:rFonts w:ascii="Times New Roman" w:hAnsi="Times New Roman"/>
        </w:rPr>
        <w:t>Szczegółowe warunki kontroli określa zarządzenie nr 42/7/2021 Prezydenta Miasta Lublin z dnia 9 lipca 2021 r. w sprawie procedury przeprowadzania kontroli realizacji zadań publicznych zlecanych przez Miasto Lublin podmiotom prowadzącym działalność pożytku publicznego.</w:t>
      </w:r>
    </w:p>
    <w:p>
      <w:pPr>
        <w:pStyle w:val="Nagwek4"/>
        <w:spacing w:lineRule="auto" w:line="276" w:before="120" w:after="60"/>
        <w:jc w:val="center"/>
        <w:rPr>
          <w:sz w:val="24"/>
          <w:szCs w:val="24"/>
        </w:rPr>
      </w:pPr>
      <w:r>
        <w:rPr>
          <w:sz w:val="24"/>
          <w:szCs w:val="24"/>
        </w:rPr>
        <w:t>§ 9</w:t>
      </w:r>
    </w:p>
    <w:p>
      <w:pPr>
        <w:pStyle w:val="Nagwek4"/>
        <w:spacing w:lineRule="auto" w:line="276" w:before="0" w:after="0"/>
        <w:jc w:val="center"/>
        <w:rPr>
          <w:sz w:val="24"/>
          <w:szCs w:val="24"/>
        </w:rPr>
      </w:pPr>
      <w:r>
        <w:rPr>
          <w:sz w:val="24"/>
          <w:szCs w:val="24"/>
        </w:rPr>
        <w:t>Obowiązki sprawozdawcze Zleceniobiorcy</w:t>
      </w:r>
    </w:p>
    <w:p>
      <w:pPr>
        <w:pStyle w:val="BodyText2"/>
        <w:numPr>
          <w:ilvl w:val="0"/>
          <w:numId w:val="7"/>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Akceptacja sprawozdania i rozliczenie dotacji polega na weryfikacji przez Zleceniodawcę założonych w ofercie rezultatów i działań Zleceniobiorcy.</w:t>
      </w:r>
    </w:p>
    <w:p>
      <w:pPr>
        <w:pStyle w:val="BodyText2"/>
        <w:numPr>
          <w:ilvl w:val="0"/>
          <w:numId w:val="7"/>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 xml:space="preserve">Zleceniodawca może wezwać Zleceniobiorcę do złożenia sprawozdania częściowego </w:t>
        <w:br/>
        <w:t xml:space="preserve">z wykonywania zadania publicznego według wzoru stanowiącego załącznik nr 5 </w:t>
        <w:br/>
        <w:t xml:space="preserve">do rozporządzenia Przewodniczącego Komitetu do Spraw Pożytku Publicznego z dnia 24 października 2018 r. w sprawie wzorów ofert i ramowych wzorów umów dotyczących realizacji zadań publicznych oraz wzorów sprawozdań z wykonania tych zadań. Zleceniobiorca jest zobowiązany do dostarczenia sprawozdania w terminie 30 dni </w:t>
        <w:br/>
        <w:t>od dnia doręczenia wezwania</w:t>
      </w:r>
      <w:r>
        <w:rPr>
          <w:rFonts w:ascii="Times New Roman" w:hAnsi="Times New Roman"/>
          <w:bCs/>
        </w:rPr>
        <w:t>.</w:t>
      </w:r>
    </w:p>
    <w:p>
      <w:pPr>
        <w:pStyle w:val="BodyText2"/>
        <w:numPr>
          <w:ilvl w:val="0"/>
          <w:numId w:val="7"/>
        </w:numPr>
        <w:tabs>
          <w:tab w:val="clear" w:pos="708"/>
          <w:tab w:val="left" w:pos="180" w:leader="none"/>
        </w:tabs>
        <w:spacing w:lineRule="auto" w:line="276"/>
        <w:ind w:left="284" w:hanging="284"/>
        <w:rPr>
          <w:rFonts w:ascii="Times New Roman" w:hAnsi="Times New Roman"/>
          <w:bCs/>
        </w:rPr>
      </w:pPr>
      <w:r>
        <w:rPr>
          <w:rFonts w:ascii="Times New Roman" w:hAnsi="Times New Roman"/>
          <w:bCs/>
        </w:rPr>
        <w:t xml:space="preserve"> </w:t>
      </w:r>
      <w:r>
        <w:rPr>
          <w:rFonts w:ascii="Times New Roman" w:hAnsi="Times New Roman"/>
          <w:bCs/>
        </w:rPr>
        <w:t>Zleceniobiorca składa sprawozdanie końcowe z wykonania zadania publicznego sporządzone według wzoru, o którym mowa w ust. 2, w terminie 30 dni od dnia zakończenia realizacji zadania publicznego.</w:t>
      </w:r>
    </w:p>
    <w:p>
      <w:pPr>
        <w:pStyle w:val="BodyText2"/>
        <w:numPr>
          <w:ilvl w:val="0"/>
          <w:numId w:val="7"/>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 xml:space="preserve">Zleceniodawca ma prawo żądać, aby Zleceniobiorca, w wyznaczonym terminie, przedstawił dodatkowe informacje, wyjaśnienia oraz dowody do sprawozdań, o których mowa w ust. </w:t>
        <w:br/>
        <w:t>2–3. Żądanie to jest wiążące dla Zleceniobiorcy.</w:t>
      </w:r>
    </w:p>
    <w:p>
      <w:pPr>
        <w:pStyle w:val="BodyText2"/>
        <w:numPr>
          <w:ilvl w:val="0"/>
          <w:numId w:val="7"/>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 xml:space="preserve">W przypadku niezłożenia sprawozdań, o których mowa w ust. 2–3, w terminie Zleceniodawca wzywa pisemnie Zleceniobiorcę do ich złożenia w terminie 7 dni od dnia otrzymania wezwania. </w:t>
      </w:r>
    </w:p>
    <w:p>
      <w:pPr>
        <w:pStyle w:val="BodyText2"/>
        <w:numPr>
          <w:ilvl w:val="0"/>
          <w:numId w:val="7"/>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Niezastosowanie się do wezwania, o którym mowa w ust. 5, skutkuje uznaniem dotacji za wykorzystaną niezgodnie z przeznaczeniem na zasadach, o których mowa w ustawie z dnia 27 sierpnia 2009 r. o finansach publicznych.</w:t>
      </w:r>
    </w:p>
    <w:p>
      <w:pPr>
        <w:pStyle w:val="BodyText2"/>
        <w:numPr>
          <w:ilvl w:val="0"/>
          <w:numId w:val="7"/>
        </w:numPr>
        <w:tabs>
          <w:tab w:val="clear" w:pos="708"/>
          <w:tab w:val="left" w:pos="180" w:leader="none"/>
        </w:tabs>
        <w:spacing w:lineRule="auto" w:line="276"/>
        <w:ind w:left="284" w:hanging="284"/>
        <w:rPr>
          <w:rFonts w:ascii="Times New Roman" w:hAnsi="Times New Roman"/>
        </w:rPr>
      </w:pPr>
      <w:r>
        <w:rPr>
          <w:rFonts w:ascii="Times New Roman" w:hAnsi="Times New Roman"/>
        </w:rPr>
        <w:t xml:space="preserve"> </w:t>
      </w:r>
      <w:r>
        <w:rPr>
          <w:rFonts w:ascii="Times New Roman" w:hAnsi="Times New Roman"/>
        </w:rPr>
        <w:t>Niezastosowanie się do wezwania, o którym mowa w ust. 2 i 5, może być podstawą do natychmiastowego rozwiązania umowy przez Zleceniodawcę.</w:t>
      </w:r>
    </w:p>
    <w:p>
      <w:pPr>
        <w:pStyle w:val="BodyText2"/>
        <w:numPr>
          <w:ilvl w:val="0"/>
          <w:numId w:val="7"/>
        </w:numPr>
        <w:tabs>
          <w:tab w:val="clear" w:pos="708"/>
          <w:tab w:val="left" w:pos="180" w:leader="none"/>
        </w:tabs>
        <w:spacing w:lineRule="auto" w:line="276"/>
        <w:ind w:left="284" w:hanging="284"/>
        <w:rPr>
          <w:rFonts w:ascii="Times New Roman" w:hAnsi="Times New Roman"/>
          <w:b/>
          <w:b/>
        </w:rPr>
      </w:pPr>
      <w:r>
        <w:rPr>
          <w:rFonts w:ascii="Times New Roman" w:hAnsi="Times New Roman"/>
        </w:rPr>
        <w:t xml:space="preserve"> </w:t>
      </w:r>
      <w:r>
        <w:rPr>
          <w:rFonts w:ascii="Times New Roman" w:hAnsi="Times New Roman"/>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pPr>
        <w:pStyle w:val="BodyText2"/>
        <w:spacing w:lineRule="auto" w:line="276"/>
        <w:rPr>
          <w:rFonts w:ascii="Times New Roman" w:hAnsi="Times New Roman"/>
          <w:b/>
          <w:b/>
        </w:rPr>
      </w:pPr>
      <w:r>
        <w:rPr>
          <w:rFonts w:ascii="Times New Roman" w:hAnsi="Times New Roman"/>
          <w:b/>
        </w:rPr>
      </w:r>
    </w:p>
    <w:p>
      <w:pPr>
        <w:pStyle w:val="BodyText2"/>
        <w:spacing w:lineRule="auto" w:line="276"/>
        <w:jc w:val="center"/>
        <w:rPr>
          <w:rFonts w:ascii="Times New Roman" w:hAnsi="Times New Roman"/>
          <w:b/>
          <w:b/>
        </w:rPr>
      </w:pPr>
      <w:r>
        <w:rPr>
          <w:rFonts w:ascii="Times New Roman" w:hAnsi="Times New Roman"/>
          <w:b/>
        </w:rPr>
        <w:t>§ 10</w:t>
      </w:r>
    </w:p>
    <w:p>
      <w:pPr>
        <w:pStyle w:val="BodyText2"/>
        <w:spacing w:lineRule="auto" w:line="276"/>
        <w:jc w:val="center"/>
        <w:rPr>
          <w:rFonts w:ascii="Times New Roman" w:hAnsi="Times New Roman"/>
          <w:b/>
          <w:b/>
        </w:rPr>
      </w:pPr>
      <w:r>
        <w:rPr>
          <w:rFonts w:ascii="Times New Roman" w:hAnsi="Times New Roman"/>
          <w:b/>
        </w:rPr>
        <w:t>Zwrot środków finansowych</w:t>
      </w:r>
    </w:p>
    <w:p>
      <w:pPr>
        <w:pStyle w:val="BodyText2"/>
        <w:spacing w:lineRule="auto" w:line="276"/>
        <w:ind w:left="284" w:hanging="284"/>
        <w:rPr>
          <w:rFonts w:ascii="Times New Roman" w:hAnsi="Times New Roman"/>
        </w:rPr>
      </w:pPr>
      <w:r>
        <w:rPr>
          <w:rFonts w:ascii="Times New Roman" w:hAnsi="Times New Roman"/>
        </w:rPr>
        <w:t>1. Przyznane środki finansowe dotacji określone w § 3 ust. 1 Zleceniobiorca jest zobowiązany wykorzystać w terminie 14 dni od dnia zakończenia realizacji zadania publicznego – nie później jednak niż do dnia 30 grudnia 2021 r.</w:t>
      </w:r>
    </w:p>
    <w:p>
      <w:pPr>
        <w:pStyle w:val="BodyText2"/>
        <w:tabs>
          <w:tab w:val="clear" w:pos="708"/>
          <w:tab w:val="left" w:pos="180" w:leader="none"/>
        </w:tabs>
        <w:spacing w:lineRule="auto" w:line="276"/>
        <w:ind w:left="284" w:hanging="284"/>
        <w:rPr>
          <w:rFonts w:ascii="Times New Roman" w:hAnsi="Times New Roman"/>
        </w:rPr>
      </w:pPr>
      <w:r>
        <w:rPr>
          <w:rFonts w:ascii="Times New Roman" w:hAnsi="Times New Roman"/>
        </w:rPr>
        <w:t>2. Niewykorzystaną kwotę dotacji przyznaną na dany rok budżetowy Zleceniobiorca jest zobowiązany zwrócić w terminie 15 dni od dnia zakończenia realizacji zadania publicznego, o którym mowa w § 2 ust. 1 (liczy się data uznania rachunku bankowego Zleceniodawcy).</w:t>
      </w:r>
    </w:p>
    <w:p>
      <w:pPr>
        <w:pStyle w:val="BodyText2"/>
        <w:spacing w:lineRule="auto" w:line="276"/>
        <w:ind w:left="284" w:hanging="284"/>
        <w:rPr>
          <w:rFonts w:ascii="Times New Roman" w:hAnsi="Times New Roman"/>
        </w:rPr>
      </w:pPr>
      <w:r>
        <w:rPr>
          <w:rFonts w:ascii="Times New Roman" w:hAnsi="Times New Roman"/>
        </w:rPr>
        <w:t>3. Niewykorzystana kwota dotacji zwracana do końca 2021 r. podlega zwrotowi na rachunek bankowy Zleceniodawcy o numerze: ……………….</w:t>
      </w:r>
    </w:p>
    <w:p>
      <w:pPr>
        <w:pStyle w:val="BodyText2"/>
        <w:spacing w:lineRule="auto" w:line="276"/>
        <w:ind w:left="284" w:hanging="0"/>
        <w:rPr>
          <w:rFonts w:ascii="Times New Roman" w:hAnsi="Times New Roman"/>
        </w:rPr>
      </w:pPr>
      <w:r>
        <w:rPr>
          <w:rFonts w:ascii="Times New Roman" w:hAnsi="Times New Roman"/>
        </w:rPr>
        <w:t>Natomiast zwracana po 31 grudnia 2021 r. podlega zwrotowi: na rachunek bankowy Zleceniodawcy o numerze: ……………….</w:t>
      </w:r>
    </w:p>
    <w:p>
      <w:pPr>
        <w:pStyle w:val="BodyText2"/>
        <w:spacing w:lineRule="auto" w:line="276"/>
        <w:ind w:left="284" w:hanging="284"/>
        <w:rPr>
          <w:rFonts w:ascii="Times New Roman" w:hAnsi="Times New Roman"/>
        </w:rPr>
      </w:pPr>
      <w:r>
        <w:rPr>
          <w:rFonts w:ascii="Times New Roman" w:hAnsi="Times New Roman"/>
        </w:rPr>
        <w:t xml:space="preserve">4. Odsetki od niewykorzystanej kwoty dotacji zwróconej po terminie, o którym mowa w ust. 2 podlegają zwrotowi w wysokości określonej jak dla zaległości podatkowych na rachunek bankowy Zleceniodawcy o numerze……………… Odsetki nalicza się, począwszy od dnia następującego po dniu, w którym upłynął termin zwrotu niewykorzystanej kwoty dotacji </w:t>
        <w:br/>
        <w:t>do dnia poprzedzającego uznanie wpłaty na rachunku bankowym Zleceniodawcy.</w:t>
      </w:r>
    </w:p>
    <w:p>
      <w:pPr>
        <w:pStyle w:val="Normal"/>
        <w:spacing w:lineRule="auto" w:line="276"/>
        <w:ind w:left="284" w:hanging="284"/>
        <w:jc w:val="both"/>
        <w:rPr/>
      </w:pPr>
      <w:r>
        <w:rPr/>
        <w:t>5. Niewykorzystane przychody i odsetki bankowe od przyznanej dotacji podlegają zwrotowi na zasadach określonych w ust. 2–4.</w:t>
      </w:r>
    </w:p>
    <w:p>
      <w:pPr>
        <w:pStyle w:val="BodyText2"/>
        <w:tabs>
          <w:tab w:val="clear" w:pos="708"/>
          <w:tab w:val="left" w:pos="180" w:leader="none"/>
          <w:tab w:val="left" w:pos="360" w:leader="none"/>
        </w:tabs>
        <w:spacing w:lineRule="auto" w:line="276"/>
        <w:ind w:left="284" w:hanging="284"/>
        <w:rPr>
          <w:rFonts w:ascii="Times New Roman" w:hAnsi="Times New Roman"/>
        </w:rPr>
      </w:pPr>
      <w:r>
        <w:rPr>
          <w:rFonts w:ascii="Times New Roman" w:hAnsi="Times New Roman"/>
        </w:rPr>
        <w:t>6.  Kwota dotacji:</w:t>
      </w:r>
    </w:p>
    <w:p>
      <w:pPr>
        <w:pStyle w:val="BodyText2"/>
        <w:spacing w:lineRule="auto" w:line="276"/>
        <w:ind w:left="426" w:hanging="0"/>
        <w:rPr>
          <w:rFonts w:ascii="Times New Roman" w:hAnsi="Times New Roman"/>
        </w:rPr>
      </w:pPr>
      <w:r>
        <w:rPr>
          <w:rFonts w:ascii="Times New Roman" w:hAnsi="Times New Roman"/>
        </w:rPr>
        <w:t>1) wykorzystana niezgodnie z przeznaczeniem,</w:t>
      </w:r>
    </w:p>
    <w:p>
      <w:pPr>
        <w:pStyle w:val="BodyText2"/>
        <w:spacing w:lineRule="auto" w:line="276"/>
        <w:ind w:left="426" w:hanging="0"/>
        <w:rPr>
          <w:rFonts w:ascii="Times New Roman" w:hAnsi="Times New Roman"/>
        </w:rPr>
      </w:pPr>
      <w:r>
        <w:rPr>
          <w:rFonts w:ascii="Times New Roman" w:hAnsi="Times New Roman"/>
        </w:rPr>
        <w:t>2) pobrana nienależnie lub w nadmiernej wysokości</w:t>
      </w:r>
    </w:p>
    <w:p>
      <w:pPr>
        <w:pStyle w:val="Normal"/>
        <w:spacing w:lineRule="auto" w:line="276"/>
        <w:ind w:left="426" w:hanging="0"/>
        <w:jc w:val="both"/>
        <w:rPr/>
      </w:pPr>
      <w:r>
        <w:rPr/>
        <w:t xml:space="preserve">– </w:t>
      </w:r>
      <w:r>
        <w:rPr/>
        <w:t xml:space="preserve">podlega zwrotowi wraz z odsetkami w wysokości określonej jak dla zaległości  podatkowych, na zasadach określonych w przepisach o finansach publicznych. </w:t>
      </w:r>
    </w:p>
    <w:p>
      <w:pPr>
        <w:pStyle w:val="ListParagraph"/>
        <w:numPr>
          <w:ilvl w:val="0"/>
          <w:numId w:val="5"/>
        </w:numPr>
        <w:tabs>
          <w:tab w:val="clear" w:pos="708"/>
        </w:tabs>
        <w:spacing w:lineRule="auto" w:line="276"/>
        <w:ind w:left="284" w:hanging="284"/>
        <w:jc w:val="both"/>
        <w:rPr/>
      </w:pPr>
      <w:r>
        <w:rPr/>
        <w:t>W przypadku dokonywania zwrotu niewykorzystanych środków wraz z odsetkami na rachunek bankowy Zleceniodawcy, w treści przelewu należy wymienić kwotę należności głównej i kwotę odsetek za opóźnienie.</w:t>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 11</w:t>
      </w:r>
    </w:p>
    <w:p>
      <w:pPr>
        <w:pStyle w:val="Nagwek1"/>
        <w:spacing w:lineRule="auto" w:line="276" w:before="0" w:after="0"/>
        <w:jc w:val="center"/>
        <w:rPr/>
      </w:pPr>
      <w:r>
        <w:rPr/>
        <w:t>Rozwiązanie umowy za porozumieniem Stron</w:t>
      </w:r>
    </w:p>
    <w:p>
      <w:pPr>
        <w:pStyle w:val="Normal"/>
        <w:numPr>
          <w:ilvl w:val="0"/>
          <w:numId w:val="1"/>
        </w:numPr>
        <w:tabs>
          <w:tab w:val="clear" w:pos="708"/>
          <w:tab w:val="left" w:pos="180" w:leader="none"/>
        </w:tabs>
        <w:spacing w:lineRule="auto" w:line="276"/>
        <w:ind w:left="284" w:hanging="284"/>
        <w:jc w:val="both"/>
        <w:rPr/>
      </w:pPr>
      <w:r>
        <w:rPr/>
        <w:t xml:space="preserve"> </w:t>
      </w:r>
      <w:r>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pPr>
        <w:pStyle w:val="Normal"/>
        <w:numPr>
          <w:ilvl w:val="0"/>
          <w:numId w:val="1"/>
        </w:numPr>
        <w:tabs>
          <w:tab w:val="clear" w:pos="708"/>
          <w:tab w:val="left" w:pos="180" w:leader="none"/>
        </w:tabs>
        <w:spacing w:lineRule="auto" w:line="276"/>
        <w:ind w:left="284" w:hanging="284"/>
        <w:jc w:val="both"/>
        <w:rPr/>
      </w:pPr>
      <w:r>
        <w:rPr/>
        <w:t xml:space="preserve"> </w:t>
      </w:r>
      <w:r>
        <w:rPr/>
        <w:t xml:space="preserve">W przypadku rozwiązania umowy w trybie określonym w ust. 1 skutki finansowe </w:t>
        <w:br/>
        <w:t>i obowiązek zwrotu środków finansowych Strony określą w protokole.</w:t>
      </w:r>
    </w:p>
    <w:p>
      <w:pPr>
        <w:pStyle w:val="Normal"/>
        <w:tabs>
          <w:tab w:val="clear" w:pos="708"/>
          <w:tab w:val="left" w:pos="180" w:leader="none"/>
        </w:tabs>
        <w:spacing w:lineRule="auto" w:line="276"/>
        <w:jc w:val="both"/>
        <w:rPr/>
      </w:pPr>
      <w:r>
        <w:rPr/>
      </w:r>
    </w:p>
    <w:p>
      <w:pPr>
        <w:pStyle w:val="Normal"/>
        <w:spacing w:lineRule="auto" w:line="276"/>
        <w:jc w:val="center"/>
        <w:rPr>
          <w:b/>
          <w:b/>
        </w:rPr>
      </w:pPr>
      <w:r>
        <w:rPr>
          <w:b/>
        </w:rPr>
        <w:t>§ 12</w:t>
      </w:r>
    </w:p>
    <w:p>
      <w:pPr>
        <w:pStyle w:val="Normal"/>
        <w:spacing w:lineRule="auto" w:line="276"/>
        <w:jc w:val="center"/>
        <w:rPr/>
      </w:pPr>
      <w:r>
        <w:rPr>
          <w:b/>
        </w:rPr>
        <w:t>Odstąpienie od umowy przez Zleceniobiorcę</w:t>
      </w:r>
      <w:r>
        <w:rPr/>
        <w:t xml:space="preserve"> </w:t>
      </w:r>
    </w:p>
    <w:p>
      <w:pPr>
        <w:pStyle w:val="Normal"/>
        <w:numPr>
          <w:ilvl w:val="0"/>
          <w:numId w:val="3"/>
        </w:numPr>
        <w:tabs>
          <w:tab w:val="clear" w:pos="708"/>
        </w:tabs>
        <w:spacing w:lineRule="auto" w:line="276"/>
        <w:ind w:left="284" w:hanging="284"/>
        <w:jc w:val="both"/>
        <w:rPr/>
      </w:pPr>
      <w:r>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pPr>
        <w:pStyle w:val="Normal"/>
        <w:numPr>
          <w:ilvl w:val="0"/>
          <w:numId w:val="3"/>
        </w:numPr>
        <w:tabs>
          <w:tab w:val="clear" w:pos="708"/>
        </w:tabs>
        <w:spacing w:lineRule="auto" w:line="276"/>
        <w:ind w:left="284" w:hanging="284"/>
        <w:jc w:val="both"/>
        <w:rPr/>
      </w:pPr>
      <w:r>
        <w:rPr/>
        <w:t>Zleceniobiorca może odstąpić od umowy, nie później jednak niż do dnia przekazania dotacji, jeżeli Zleceniodawca nie przekaże dotacji w terminie określonym w umowie.</w:t>
      </w:r>
    </w:p>
    <w:p>
      <w:pPr>
        <w:pStyle w:val="Normal"/>
        <w:tabs>
          <w:tab w:val="clear" w:pos="708"/>
          <w:tab w:val="left" w:pos="284" w:leader="none"/>
        </w:tabs>
        <w:spacing w:lineRule="auto" w:line="276"/>
        <w:jc w:val="both"/>
        <w:rPr/>
      </w:pPr>
      <w:r>
        <w:rPr/>
      </w:r>
    </w:p>
    <w:p>
      <w:pPr>
        <w:pStyle w:val="Normal"/>
        <w:spacing w:lineRule="auto" w:line="276"/>
        <w:jc w:val="center"/>
        <w:rPr>
          <w:b/>
          <w:b/>
        </w:rPr>
      </w:pPr>
      <w:r>
        <w:rPr>
          <w:b/>
        </w:rPr>
        <w:t>§ 13</w:t>
      </w:r>
    </w:p>
    <w:p>
      <w:pPr>
        <w:pStyle w:val="Normal"/>
        <w:spacing w:lineRule="auto" w:line="276"/>
        <w:jc w:val="center"/>
        <w:rPr>
          <w:b/>
          <w:b/>
        </w:rPr>
      </w:pPr>
      <w:r>
        <w:rPr>
          <w:b/>
        </w:rPr>
        <w:t>Rozwiązanie umowy przez Zleceniodawcę</w:t>
      </w:r>
    </w:p>
    <w:p>
      <w:pPr>
        <w:pStyle w:val="Normal"/>
        <w:spacing w:lineRule="auto" w:line="276"/>
        <w:ind w:left="284" w:hanging="284"/>
        <w:jc w:val="both"/>
        <w:rPr>
          <w:b/>
          <w:b/>
        </w:rPr>
      </w:pPr>
      <w:r>
        <w:rPr/>
        <w:t>1.</w:t>
      </w:r>
      <w:r>
        <w:rPr>
          <w:b/>
        </w:rPr>
        <w:t xml:space="preserve"> </w:t>
      </w:r>
      <w:r>
        <w:rPr/>
        <w:t>Umowa może być rozwiązana przez Zleceniodawcę ze skutkiem natychmiastowym w przypadku:</w:t>
      </w:r>
    </w:p>
    <w:p>
      <w:pPr>
        <w:pStyle w:val="Normal"/>
        <w:spacing w:lineRule="auto" w:line="276"/>
        <w:ind w:left="567" w:hanging="295"/>
        <w:jc w:val="both"/>
        <w:rPr/>
      </w:pPr>
      <w:r>
        <w:rPr/>
        <w:t>1)</w:t>
        <w:tab/>
        <w:t>wykorzystywania udzielonej dotacji niezgodnie z przeznaczeniem lub pobrania w nadmiernej wysokości lub nienależnie, tj. bez podstawy prawnej;</w:t>
      </w:r>
    </w:p>
    <w:p>
      <w:pPr>
        <w:pStyle w:val="Normal"/>
        <w:spacing w:lineRule="auto" w:line="276"/>
        <w:ind w:left="567" w:hanging="295"/>
        <w:jc w:val="both"/>
        <w:rPr/>
      </w:pPr>
      <w:r>
        <w:rPr/>
        <w:t>2)</w:t>
        <w:tab/>
        <w:t xml:space="preserve">nieterminowego oraz nienależytego wykonywania umowy, w szczególności zmniejszenia zakresu rzeczowego realizowanego zadania publicznego; </w:t>
      </w:r>
    </w:p>
    <w:p>
      <w:pPr>
        <w:pStyle w:val="Normal"/>
        <w:spacing w:lineRule="auto" w:line="276"/>
        <w:ind w:left="567" w:hanging="295"/>
        <w:jc w:val="both"/>
        <w:rPr/>
      </w:pPr>
      <w:r>
        <w:rPr/>
        <w:t>3)</w:t>
        <w:tab/>
        <w:t>przekazania przez Zleceniobiorcę części lub całości dotacji osobie trzeciej w sposób niezgodny z niniejszą umową;</w:t>
      </w:r>
    </w:p>
    <w:p>
      <w:pPr>
        <w:pStyle w:val="Normal"/>
        <w:spacing w:lineRule="auto" w:line="276"/>
        <w:ind w:left="567" w:hanging="295"/>
        <w:jc w:val="both"/>
        <w:rPr/>
      </w:pPr>
      <w:r>
        <w:rPr/>
        <w:t>4)</w:t>
        <w:tab/>
        <w:t>nieprzedłożenia przez Zleceniobiorcę sprawozdania z wykonania zadania publicznego w terminie określonym i na zasadach określonych w niniejszej umowie;</w:t>
      </w:r>
    </w:p>
    <w:p>
      <w:pPr>
        <w:pStyle w:val="Normal"/>
        <w:spacing w:lineRule="auto" w:line="276"/>
        <w:ind w:left="567" w:hanging="295"/>
        <w:jc w:val="both"/>
        <w:rPr/>
      </w:pPr>
      <w:r>
        <w:rPr/>
        <w:t>5)</w:t>
        <w:tab/>
        <w:t>odmowy poddania się przez Zleceniobiorcę kontroli albo niedoprowadzenia przez Zleceniobiorcę w terminie określonym przez Zleceniodawcę do usunięcia stwierdzonych nieprawidłowości;</w:t>
      </w:r>
    </w:p>
    <w:p>
      <w:pPr>
        <w:pStyle w:val="Normal"/>
        <w:spacing w:lineRule="auto" w:line="276"/>
        <w:ind w:left="567" w:hanging="295"/>
        <w:jc w:val="both"/>
        <w:rPr/>
      </w:pPr>
      <w:r>
        <w:rPr/>
        <w:t>6)</w:t>
        <w:tab/>
        <w:t>stwierdzenia, że oferta na realizację zadania publicznego była nieważna lub została złożona przez osoby do tego nieuprawnione.</w:t>
      </w:r>
    </w:p>
    <w:p>
      <w:pPr>
        <w:pStyle w:val="Wcicietrecitekstu"/>
        <w:spacing w:lineRule="auto" w:line="276" w:before="0" w:after="0"/>
        <w:ind w:left="284" w:hanging="284"/>
        <w:jc w:val="both"/>
        <w:rPr/>
      </w:pPr>
      <w:r>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Wcicietrecitekstu"/>
        <w:spacing w:lineRule="auto" w:line="276" w:before="0" w:after="0"/>
        <w:ind w:left="284" w:hanging="284"/>
        <w:jc w:val="both"/>
        <w:rPr/>
      </w:pPr>
      <w:r>
        <w:rPr/>
        <w:t xml:space="preserve">3. W przypadku nieuiszczenia w terminie, o którym mowa w ust. 2, kwoty dotacji podlegającej zwrotowi wraz z odsetkami, od kwoty tej nalicza się dalsze odsetki w wysokości określonej </w:t>
        <w:br/>
        <w:t>jak dla zaległości podatkowych, począwszy od dnia następującego po upływie terminu zwrotu dotacji, do dnia poprzedzającego uznanie wpłaty na rachunku bankowym Zleceniodawcy.</w:t>
      </w:r>
    </w:p>
    <w:p>
      <w:pPr>
        <w:pStyle w:val="Normal"/>
        <w:spacing w:lineRule="auto" w:line="276"/>
        <w:jc w:val="center"/>
        <w:rPr>
          <w:b/>
          <w:b/>
        </w:rPr>
      </w:pPr>
      <w:r>
        <w:rPr>
          <w:b/>
        </w:rPr>
      </w:r>
    </w:p>
    <w:p>
      <w:pPr>
        <w:pStyle w:val="Normal"/>
        <w:spacing w:lineRule="auto" w:line="276"/>
        <w:jc w:val="center"/>
        <w:rPr>
          <w:b/>
          <w:b/>
        </w:rPr>
      </w:pPr>
      <w:r>
        <w:rPr>
          <w:b/>
        </w:rPr>
      </w:r>
    </w:p>
    <w:p>
      <w:pPr>
        <w:pStyle w:val="Normal"/>
        <w:spacing w:lineRule="auto" w:line="276"/>
        <w:jc w:val="center"/>
        <w:rPr>
          <w:b/>
          <w:b/>
        </w:rPr>
      </w:pPr>
      <w:r>
        <w:rPr>
          <w:b/>
        </w:rPr>
        <w:t>§ 14</w:t>
      </w:r>
    </w:p>
    <w:p>
      <w:pPr>
        <w:pStyle w:val="Normal"/>
        <w:spacing w:lineRule="auto" w:line="276"/>
        <w:jc w:val="center"/>
        <w:rPr>
          <w:b/>
          <w:b/>
        </w:rPr>
      </w:pPr>
      <w:r>
        <w:rPr>
          <w:b/>
        </w:rPr>
        <w:t>Zakaz zbywania rzeczy zakupionych za środki pochodzące z dotacji</w:t>
      </w:r>
    </w:p>
    <w:p>
      <w:pPr>
        <w:pStyle w:val="Normal"/>
        <w:spacing w:lineRule="auto" w:line="276"/>
        <w:ind w:left="284" w:hanging="284"/>
        <w:jc w:val="both"/>
        <w:rPr/>
      </w:pPr>
      <w:r>
        <w:rPr/>
        <w:t>1. Zleceniobiorca zobowiązuje się do niezbywania związanych z realizacją zadania rzeczy zakupionych na swoją rzecz za środki pochodzące z dotacji przez okres 5 lat od dnia dokonania ich zakupu.</w:t>
      </w:r>
    </w:p>
    <w:p>
      <w:pPr>
        <w:pStyle w:val="Normal"/>
        <w:spacing w:lineRule="auto" w:line="276"/>
        <w:ind w:left="284" w:hanging="284"/>
        <w:jc w:val="both"/>
        <w:rPr>
          <w:b/>
          <w:b/>
        </w:rPr>
      </w:pPr>
      <w:r>
        <w:rPr/>
        <w:t>2. Z ważnych przyczyn Zleceniodawca może wyrazić zgodę na zbycie rzeczy przed upływem terminu, o którym mowa w ust. 1, pod warunkiem że Zleceniobiorca zobowiąże się przeznaczyć środki pozyskane ze zbycia rzeczy na realizację celów statutowych.</w:t>
      </w:r>
    </w:p>
    <w:p>
      <w:pPr>
        <w:pStyle w:val="Normal"/>
        <w:spacing w:lineRule="auto" w:line="276"/>
        <w:jc w:val="center"/>
        <w:rPr>
          <w:b/>
          <w:b/>
        </w:rPr>
      </w:pPr>
      <w:r>
        <w:rPr>
          <w:b/>
        </w:rPr>
      </w:r>
    </w:p>
    <w:p>
      <w:pPr>
        <w:pStyle w:val="Normal"/>
        <w:spacing w:lineRule="auto" w:line="276"/>
        <w:jc w:val="center"/>
        <w:rPr>
          <w:b/>
          <w:b/>
        </w:rPr>
      </w:pPr>
      <w:r>
        <w:rPr>
          <w:b/>
        </w:rPr>
        <w:t>§ 15</w:t>
      </w:r>
    </w:p>
    <w:p>
      <w:pPr>
        <w:pStyle w:val="Normal"/>
        <w:spacing w:lineRule="auto" w:line="276"/>
        <w:jc w:val="center"/>
        <w:rPr>
          <w:b/>
          <w:b/>
        </w:rPr>
      </w:pPr>
      <w:r>
        <w:rPr>
          <w:b/>
        </w:rPr>
        <w:t>Forma pisemna oświadczeń</w:t>
      </w:r>
    </w:p>
    <w:p>
      <w:pPr>
        <w:pStyle w:val="Normal"/>
        <w:numPr>
          <w:ilvl w:val="0"/>
          <w:numId w:val="4"/>
        </w:numPr>
        <w:tabs>
          <w:tab w:val="clear" w:pos="708"/>
          <w:tab w:val="left" w:pos="284" w:leader="none"/>
        </w:tabs>
        <w:spacing w:lineRule="auto" w:line="276"/>
        <w:ind w:left="284" w:hanging="284"/>
        <w:jc w:val="both"/>
        <w:rPr/>
      </w:pPr>
      <w:r>
        <w:rPr/>
        <w:t>Wszelkie zmiany, uzupełnienia i oświadczenia składane w związku z niniejszą umową wymagają formy pisemnej pod rygorem nieważności i mogą być dokonywane w zakresie niewpływającym na zmianę kryteriów wyboru oferty Zleceniobiorcy.</w:t>
      </w:r>
    </w:p>
    <w:p>
      <w:pPr>
        <w:pStyle w:val="Normal"/>
        <w:spacing w:lineRule="auto" w:line="276"/>
        <w:ind w:left="284" w:hanging="284"/>
        <w:jc w:val="both"/>
        <w:rPr>
          <w:b/>
          <w:b/>
        </w:rPr>
      </w:pPr>
      <w:r>
        <w:rPr/>
        <w:t>2. Wszelkie wątpliwości związane z realizacją niniejszej umowy będą wyjaśniane w formie pisemnej lub za pomocą środków komunikacji elektronicznej.</w:t>
      </w:r>
    </w:p>
    <w:p>
      <w:pPr>
        <w:pStyle w:val="Normal"/>
        <w:tabs>
          <w:tab w:val="clear" w:pos="708"/>
          <w:tab w:val="left" w:pos="0" w:leader="none"/>
        </w:tabs>
        <w:spacing w:lineRule="auto" w:line="276"/>
        <w:rPr>
          <w:b/>
          <w:b/>
        </w:rPr>
      </w:pPr>
      <w:r>
        <w:rPr>
          <w:b/>
        </w:rPr>
      </w:r>
    </w:p>
    <w:p>
      <w:pPr>
        <w:pStyle w:val="Normal"/>
        <w:tabs>
          <w:tab w:val="clear" w:pos="708"/>
          <w:tab w:val="left" w:pos="0" w:leader="none"/>
        </w:tabs>
        <w:spacing w:lineRule="auto" w:line="276"/>
        <w:jc w:val="center"/>
        <w:rPr>
          <w:b/>
          <w:b/>
        </w:rPr>
      </w:pPr>
      <w:r>
        <w:rPr>
          <w:b/>
        </w:rPr>
        <w:t>§ 16</w:t>
      </w:r>
    </w:p>
    <w:p>
      <w:pPr>
        <w:pStyle w:val="Normal"/>
        <w:tabs>
          <w:tab w:val="clear" w:pos="708"/>
          <w:tab w:val="left" w:pos="142" w:leader="none"/>
        </w:tabs>
        <w:spacing w:lineRule="auto" w:line="276"/>
        <w:ind w:left="142" w:hanging="0"/>
        <w:jc w:val="center"/>
        <w:rPr>
          <w:b/>
          <w:b/>
        </w:rPr>
      </w:pPr>
      <w:r>
        <w:rPr>
          <w:b/>
        </w:rPr>
        <w:t>Odpowiedzialność wobec osób trzecich</w:t>
      </w:r>
    </w:p>
    <w:p>
      <w:pPr>
        <w:pStyle w:val="NormalWeb"/>
        <w:numPr>
          <w:ilvl w:val="0"/>
          <w:numId w:val="13"/>
        </w:numPr>
        <w:tabs>
          <w:tab w:val="clear" w:pos="708"/>
          <w:tab w:val="left" w:pos="0" w:leader="none"/>
        </w:tabs>
        <w:spacing w:lineRule="auto" w:line="276" w:before="0" w:after="0"/>
        <w:jc w:val="both"/>
        <w:rPr/>
      </w:pPr>
      <w:r>
        <w:rPr/>
        <w:t>Zleceniobiorca ponosi wyłączną odpowiedzialność wobec osób trzecich za szkody powstałe w związku z realizacją zadania publicznego.</w:t>
      </w:r>
    </w:p>
    <w:p>
      <w:pPr>
        <w:pStyle w:val="NormalWeb"/>
        <w:numPr>
          <w:ilvl w:val="0"/>
          <w:numId w:val="13"/>
        </w:numPr>
        <w:tabs>
          <w:tab w:val="clear" w:pos="708"/>
          <w:tab w:val="left" w:pos="0" w:leader="none"/>
        </w:tabs>
        <w:spacing w:lineRule="auto" w:line="276" w:before="0" w:after="0"/>
        <w:jc w:val="both"/>
        <w:rPr/>
      </w:pPr>
      <w:r>
        <w:rPr/>
        <w:t xml:space="preserve">W zakresie związanym z realizacją zadania publicznego, w tym z gromadzeniem, przetwarzaniem i przekazywaniem danych osobowych, a także wprowadzaniem </w:t>
        <w:br/>
        <w:t xml:space="preserve">ich do systemów informatycznych, Zleceniobiorca postępuje zgodnie z postanowieniami rozporządzenia Parlamentu Europejskiego i Rady (UE) </w:t>
      </w:r>
      <w:hyperlink r:id="rId2">
        <w:r>
          <w:rPr>
            <w:rStyle w:val="Czeinternetowe"/>
          </w:rPr>
          <w:t>2016/679</w:t>
        </w:r>
      </w:hyperlink>
      <w:r>
        <w:rPr/>
        <w:t xml:space="preserve"> z dnia 27 kwietnia </w:t>
        <w:br/>
        <w:t xml:space="preserve">2016 r. w sprawie ochrony osób fizycznych w związku z przetwarzaniem danych osobowych i w sprawie swobodnego przepływu takich danych oraz uchylenia dyrektywy </w:t>
      </w:r>
      <w:hyperlink r:id="rId3">
        <w:r>
          <w:rPr>
            <w:rStyle w:val="Czeinternetowe"/>
          </w:rPr>
          <w:t>95/46/WE</w:t>
        </w:r>
      </w:hyperlink>
      <w:r>
        <w:rPr/>
        <w:t xml:space="preserve"> (ogólnego rozporządzenia o ochronie danych) (Dz. Urz. UE L Nr 119 </w:t>
        <w:br/>
        <w:t xml:space="preserve">z 04.05.2016, </w:t>
      </w:r>
      <w:hyperlink r:id="rId4">
        <w:r>
          <w:rPr>
            <w:rStyle w:val="Czeinternetowe"/>
          </w:rPr>
          <w:t>str. 1</w:t>
        </w:r>
      </w:hyperlink>
      <w:r>
        <w:rPr>
          <w:u w:val="single"/>
        </w:rPr>
        <w:t>, z późn. zm.</w:t>
      </w:r>
      <w:r>
        <w:rPr/>
        <w:t>) – zwanego dalej „RODO”.</w:t>
      </w:r>
    </w:p>
    <w:p>
      <w:pPr>
        <w:pStyle w:val="NormalWeb"/>
        <w:numPr>
          <w:ilvl w:val="0"/>
          <w:numId w:val="13"/>
        </w:numPr>
        <w:tabs>
          <w:tab w:val="clear" w:pos="708"/>
          <w:tab w:val="left" w:pos="0" w:leader="none"/>
        </w:tabs>
        <w:spacing w:lineRule="auto" w:line="276" w:before="0" w:after="0"/>
        <w:jc w:val="both"/>
        <w:rPr/>
      </w:pPr>
      <w:r>
        <w:rPr/>
        <w:t>Zgodnie z art. 13 ust. 1 i ust. 2 RODO, Zleceniodawca informuję, iż:</w:t>
      </w:r>
    </w:p>
    <w:p>
      <w:pPr>
        <w:pStyle w:val="NormalWeb"/>
        <w:numPr>
          <w:ilvl w:val="0"/>
          <w:numId w:val="14"/>
        </w:numPr>
        <w:tabs>
          <w:tab w:val="clear" w:pos="708"/>
          <w:tab w:val="left" w:pos="0" w:leader="none"/>
        </w:tabs>
        <w:spacing w:lineRule="auto" w:line="276" w:before="0" w:after="0"/>
        <w:jc w:val="both"/>
        <w:rPr/>
      </w:pPr>
      <w:r>
        <w:rPr/>
        <w:t>Administratorem danych osobowych osób reprezentujących Zleceniobiorcę jest Miejski Ośrodek Pomocy Rodzinie w Lublinie z siedzibą przy ul. Marii Koryznowej 2D, 20-137 Lublin, telefon: 81 466 53 00, email: centrum@mopr.lublin.eu.</w:t>
      </w:r>
    </w:p>
    <w:p>
      <w:pPr>
        <w:pStyle w:val="NormalWeb"/>
        <w:numPr>
          <w:ilvl w:val="0"/>
          <w:numId w:val="14"/>
        </w:numPr>
        <w:tabs>
          <w:tab w:val="clear" w:pos="708"/>
          <w:tab w:val="left" w:pos="0" w:leader="none"/>
        </w:tabs>
        <w:spacing w:lineRule="auto" w:line="276" w:before="0" w:after="0"/>
        <w:jc w:val="both"/>
        <w:rPr/>
      </w:pPr>
      <w:r>
        <w:rPr/>
        <w:t>W Miejskim Ośrodku Pomocy Rodzinie w Lublinie został wyznaczony Inspektor ochrony danych, z którym osoby reprezentujące Zleceniobiorcę mogą się kontaktować we wszystkich sprawach dotyczących przetwarzania danych osobowych oraz korzystania z przysługujących praw związanych z przetwarzaniem danych poprzez mail: inspektorochronydanych@mopr.lublin.eu lub pisemnie na adres ul. Marii Koryznowej 2D, 20-137 Lublin.</w:t>
      </w:r>
    </w:p>
    <w:p>
      <w:pPr>
        <w:pStyle w:val="NormalWeb"/>
        <w:numPr>
          <w:ilvl w:val="0"/>
          <w:numId w:val="14"/>
        </w:numPr>
        <w:tabs>
          <w:tab w:val="clear" w:pos="708"/>
          <w:tab w:val="left" w:pos="0" w:leader="none"/>
        </w:tabs>
        <w:spacing w:lineRule="auto" w:line="276" w:before="0" w:after="0"/>
        <w:jc w:val="both"/>
        <w:rPr/>
      </w:pPr>
      <w:r>
        <w:rPr/>
        <w:t>Dane osobowe osób reprezentujących Zleceniobiorcę przetwarzane będą w celu realizacji ustawowych zadań publicznych Administratora. Podstawą prawną przetwarzania danych osobowych jest art. 6 ust. 1 lit. c. RODO (tj. niezbędność do wypełnienia obowiązku prawnego ciążącego na administratorze) w związku z ustawą oraz art. 5 i art. 6 ustawy z dnia 14 lipca 1983 r. o narodowym zasobie archiwalnym</w:t>
        <w:br/>
        <w:t>i archiwach.</w:t>
      </w:r>
    </w:p>
    <w:p>
      <w:pPr>
        <w:pStyle w:val="NormalWeb"/>
        <w:numPr>
          <w:ilvl w:val="0"/>
          <w:numId w:val="14"/>
        </w:numPr>
        <w:tabs>
          <w:tab w:val="clear" w:pos="708"/>
          <w:tab w:val="left" w:pos="0" w:leader="none"/>
        </w:tabs>
        <w:spacing w:lineRule="auto" w:line="276" w:before="0" w:after="0"/>
        <w:jc w:val="both"/>
        <w:rPr/>
      </w:pPr>
      <w:r>
        <w:rPr/>
        <w:t>Dane osobowe osób reprezentujących Zleceniobiorcę nie trafią poza Europejski Obszar Gospodarczy (obejmujący Unię Europejską, Norwegię, Liechtenstein, Islandię i Wielką Brytanię).</w:t>
      </w:r>
    </w:p>
    <w:p>
      <w:pPr>
        <w:pStyle w:val="NormalWeb"/>
        <w:numPr>
          <w:ilvl w:val="0"/>
          <w:numId w:val="14"/>
        </w:numPr>
        <w:tabs>
          <w:tab w:val="clear" w:pos="708"/>
          <w:tab w:val="left" w:pos="0" w:leader="none"/>
        </w:tabs>
        <w:spacing w:lineRule="auto" w:line="276" w:before="0" w:after="0"/>
        <w:jc w:val="both"/>
        <w:rPr/>
      </w:pPr>
      <w:r>
        <w:rPr/>
        <w:t>Odbiorcami danych osobowych osób reprezentujących Zleceniobiorcę będą wyłącznie podmioty uprawnione do uzyskania danych osobowych na podstawie przepisów prawa.</w:t>
      </w:r>
    </w:p>
    <w:p>
      <w:pPr>
        <w:pStyle w:val="NormalWeb"/>
        <w:numPr>
          <w:ilvl w:val="0"/>
          <w:numId w:val="14"/>
        </w:numPr>
        <w:tabs>
          <w:tab w:val="clear" w:pos="708"/>
          <w:tab w:val="left" w:pos="0" w:leader="none"/>
        </w:tabs>
        <w:spacing w:lineRule="auto" w:line="276" w:before="0" w:after="0"/>
        <w:jc w:val="both"/>
        <w:rPr/>
      </w:pPr>
      <w:r>
        <w:rPr/>
        <w:t>Z danych osobowych osób reprezentujących Zleceniobiorcę, Administrator będzie korzystać do momentu osiągnięcia celu oraz w zakresie wymaganym przez przepisy powszechnie obowiązującego prawa w szczególności ze względu na cele archiwalne w interesie publicznym, cele badań naukowych lub historycznych lub cele statystyczne – przez 5 lat. Po tym okresie dane podlegają ekspertyzie archiwalnej przeprowadzonej przez Archiwum Państwowe. W zależności od decyzji archiwum państwowego okres wykorzystania danych w celu archiwalnym zostanie przedłużony lub dane zostaną usunięte.</w:t>
      </w:r>
    </w:p>
    <w:p>
      <w:pPr>
        <w:pStyle w:val="NormalWeb"/>
        <w:numPr>
          <w:ilvl w:val="0"/>
          <w:numId w:val="14"/>
        </w:numPr>
        <w:tabs>
          <w:tab w:val="clear" w:pos="708"/>
          <w:tab w:val="left" w:pos="0" w:leader="none"/>
        </w:tabs>
        <w:spacing w:lineRule="auto" w:line="276" w:before="0" w:after="0"/>
        <w:jc w:val="both"/>
        <w:rPr/>
      </w:pPr>
      <w:r>
        <w:rPr/>
        <w:t>W związku z przetwarzaniem danych osobowych osób reprezentujących Zleceniobiorcę, osobom tym przysługują następujące prawa:</w:t>
      </w:r>
    </w:p>
    <w:p>
      <w:pPr>
        <w:pStyle w:val="NormalWeb"/>
        <w:numPr>
          <w:ilvl w:val="0"/>
          <w:numId w:val="15"/>
        </w:numPr>
        <w:tabs>
          <w:tab w:val="clear" w:pos="708"/>
          <w:tab w:val="left" w:pos="0" w:leader="none"/>
        </w:tabs>
        <w:spacing w:lineRule="auto" w:line="276" w:before="0" w:after="0"/>
        <w:jc w:val="both"/>
        <w:rPr/>
      </w:pPr>
      <w:r>
        <w:rPr/>
        <w:t>prawo do żądania od Administratora dostępu do danych osobowych oraz otrzymania ich kopii w przypadkach o których mowa w art. 15 RODO;</w:t>
      </w:r>
    </w:p>
    <w:p>
      <w:pPr>
        <w:pStyle w:val="NormalWeb"/>
        <w:numPr>
          <w:ilvl w:val="0"/>
          <w:numId w:val="15"/>
        </w:numPr>
        <w:tabs>
          <w:tab w:val="clear" w:pos="708"/>
          <w:tab w:val="left" w:pos="0" w:leader="none"/>
        </w:tabs>
        <w:spacing w:lineRule="auto" w:line="276" w:before="0" w:after="0"/>
        <w:jc w:val="both"/>
        <w:rPr/>
      </w:pPr>
      <w:r>
        <w:rPr/>
        <w:t>prawo żądania sprostowania (poprawiania) danych osobowych w przypadkach o których mowa w art. 16 RODO;</w:t>
      </w:r>
    </w:p>
    <w:p>
      <w:pPr>
        <w:pStyle w:val="NormalWeb"/>
        <w:numPr>
          <w:ilvl w:val="0"/>
          <w:numId w:val="15"/>
        </w:numPr>
        <w:tabs>
          <w:tab w:val="clear" w:pos="708"/>
          <w:tab w:val="left" w:pos="0" w:leader="none"/>
        </w:tabs>
        <w:spacing w:lineRule="auto" w:line="276" w:before="0" w:after="0"/>
        <w:jc w:val="both"/>
        <w:rPr/>
      </w:pPr>
      <w:r>
        <w:rPr/>
        <w:t>prawo żądania usunięcia danych osobowych w przypadkach określonych w art. 17 RODO;</w:t>
      </w:r>
    </w:p>
    <w:p>
      <w:pPr>
        <w:pStyle w:val="NormalWeb"/>
        <w:numPr>
          <w:ilvl w:val="0"/>
          <w:numId w:val="15"/>
        </w:numPr>
        <w:tabs>
          <w:tab w:val="clear" w:pos="708"/>
          <w:tab w:val="left" w:pos="0" w:leader="none"/>
        </w:tabs>
        <w:spacing w:lineRule="auto" w:line="276" w:before="0" w:after="0"/>
        <w:jc w:val="both"/>
        <w:rPr/>
      </w:pPr>
      <w:r>
        <w:rPr/>
        <w:t>prawo żądania ograniczenia przetwarzania danych osobowych w przypadkach określonych w art. 18 RODO;</w:t>
      </w:r>
    </w:p>
    <w:p>
      <w:pPr>
        <w:pStyle w:val="NormalWeb"/>
        <w:numPr>
          <w:ilvl w:val="0"/>
          <w:numId w:val="15"/>
        </w:numPr>
        <w:tabs>
          <w:tab w:val="clear" w:pos="708"/>
          <w:tab w:val="left" w:pos="0" w:leader="none"/>
        </w:tabs>
        <w:spacing w:lineRule="auto" w:line="276" w:before="0" w:after="0"/>
        <w:jc w:val="both"/>
        <w:rPr/>
      </w:pPr>
      <w:r>
        <w:rPr/>
        <w:t>prawo do przenoszenia danych w przypadkach określonych w art. 20 RODO.</w:t>
      </w:r>
    </w:p>
    <w:p>
      <w:pPr>
        <w:pStyle w:val="NormalWeb"/>
        <w:numPr>
          <w:ilvl w:val="0"/>
          <w:numId w:val="14"/>
        </w:numPr>
        <w:tabs>
          <w:tab w:val="clear" w:pos="708"/>
          <w:tab w:val="left" w:pos="0" w:leader="none"/>
        </w:tabs>
        <w:spacing w:lineRule="auto" w:line="276" w:before="0" w:after="0"/>
        <w:jc w:val="both"/>
        <w:rPr/>
      </w:pPr>
      <w:r>
        <w:rPr/>
        <w:t>Osobom reprezentującym Zleceniobiorcę nie przysługuje prawo do wniesienia sprzeciwu w przedmiocie przetwarzania danych osobowych, gdyż podstawą prawną przetwarzania danych osobowych jest art. 6 ust. 1 lit. c RODO.</w:t>
      </w:r>
    </w:p>
    <w:p>
      <w:pPr>
        <w:pStyle w:val="NormalWeb"/>
        <w:numPr>
          <w:ilvl w:val="0"/>
          <w:numId w:val="14"/>
        </w:numPr>
        <w:tabs>
          <w:tab w:val="clear" w:pos="708"/>
          <w:tab w:val="left" w:pos="0" w:leader="none"/>
        </w:tabs>
        <w:spacing w:lineRule="auto" w:line="276" w:before="0" w:after="0"/>
        <w:jc w:val="both"/>
        <w:rPr/>
      </w:pPr>
      <w:r>
        <w:rPr/>
        <w:t xml:space="preserve">Osobom reprezentującym Zleceniobiorcę przysługuje prawo do wniesienia skargi </w:t>
        <w:br/>
        <w:t xml:space="preserve">do Prezesa Urzędu Ochrony Danych Osobowych, w sytuacji, gdy osoby te uznają, </w:t>
        <w:br/>
        <w:t>że przetwarzanie danych osobowych narusza przepisy RODO.</w:t>
      </w:r>
    </w:p>
    <w:p>
      <w:pPr>
        <w:pStyle w:val="NormalWeb"/>
        <w:numPr>
          <w:ilvl w:val="0"/>
          <w:numId w:val="14"/>
        </w:numPr>
        <w:tabs>
          <w:tab w:val="clear" w:pos="708"/>
          <w:tab w:val="left" w:pos="0" w:leader="none"/>
        </w:tabs>
        <w:spacing w:lineRule="auto" w:line="276" w:before="0" w:after="0"/>
        <w:jc w:val="both"/>
        <w:rPr/>
      </w:pPr>
      <w:r>
        <w:rPr/>
        <w:t>Podanie danych osobowych w zakresie wymaganym ustawodawstwem jest obligatoryjne, odmowa ich podania skutkuje brakiem możliwości zawarcia umowy.</w:t>
      </w:r>
    </w:p>
    <w:p>
      <w:pPr>
        <w:pStyle w:val="NormalWeb"/>
        <w:numPr>
          <w:ilvl w:val="0"/>
          <w:numId w:val="14"/>
        </w:numPr>
        <w:tabs>
          <w:tab w:val="clear" w:pos="708"/>
          <w:tab w:val="left" w:pos="0" w:leader="none"/>
        </w:tabs>
        <w:spacing w:lineRule="auto" w:line="276" w:before="0" w:after="0"/>
        <w:jc w:val="both"/>
        <w:rPr/>
      </w:pPr>
      <w:r>
        <w:rPr/>
        <w:t>Dane osobowe osób reprezentujących Zleceniobiorcę nie będą podlegać automatycznym sposobom przetwarzania danych opierających się na zautomatyzowanym podejmowaniu decyzji, w tym nie będą podlegać profilowaniu.</w:t>
      </w:r>
    </w:p>
    <w:p>
      <w:pPr>
        <w:pStyle w:val="NormalWeb"/>
        <w:tabs>
          <w:tab w:val="clear" w:pos="708"/>
          <w:tab w:val="left" w:pos="0" w:leader="none"/>
        </w:tabs>
        <w:spacing w:lineRule="auto" w:line="276" w:before="0" w:after="0"/>
        <w:ind w:left="720" w:hanging="0"/>
        <w:jc w:val="both"/>
        <w:rPr/>
      </w:pPr>
      <w:r>
        <w:rPr/>
      </w:r>
    </w:p>
    <w:p>
      <w:pPr>
        <w:pStyle w:val="Normal"/>
        <w:tabs>
          <w:tab w:val="clear" w:pos="708"/>
          <w:tab w:val="left" w:pos="0" w:leader="none"/>
        </w:tabs>
        <w:spacing w:lineRule="auto" w:line="276"/>
        <w:jc w:val="center"/>
        <w:rPr/>
      </w:pPr>
      <w:r>
        <w:rPr>
          <w:b/>
        </w:rPr>
        <w:t>§ 17</w:t>
      </w:r>
    </w:p>
    <w:p>
      <w:pPr>
        <w:pStyle w:val="Normal"/>
        <w:tabs>
          <w:tab w:val="clear" w:pos="708"/>
          <w:tab w:val="left" w:pos="142" w:leader="none"/>
        </w:tabs>
        <w:spacing w:lineRule="auto" w:line="276"/>
        <w:ind w:left="142" w:hanging="0"/>
        <w:jc w:val="center"/>
        <w:rPr>
          <w:b/>
          <w:b/>
        </w:rPr>
      </w:pPr>
      <w:r>
        <w:rPr>
          <w:b/>
        </w:rPr>
        <w:t>Postanowienia końcowe</w:t>
      </w:r>
    </w:p>
    <w:p>
      <w:pPr>
        <w:pStyle w:val="BodyText2"/>
        <w:spacing w:lineRule="auto" w:line="276"/>
        <w:ind w:left="284" w:hanging="284"/>
        <w:rPr>
          <w:rFonts w:ascii="Times New Roman" w:hAnsi="Times New Roman"/>
        </w:rPr>
      </w:pPr>
      <w:r>
        <w:rPr>
          <w:rFonts w:ascii="Times New Roman" w:hAnsi="Times New Roman"/>
        </w:rPr>
        <w:t xml:space="preserve">1. W odniesieniu do niniejszej umowy mają zastosowanie przepisy prawa powszechnie obowiązującego, w szczególności przepisy ustawy, ustawy z dnia 27 sierpnia 2009 r. </w:t>
        <w:br/>
        <w:t xml:space="preserve">o finansach publicznych, ustawy z dnia 29 września 1994 r. o rachunkowości, ustawy z dnia 11 września 2019 r. – Prawo zamówień publicznych oraz ustawy z dnia 17 grudnia 2004 r. </w:t>
        <w:br/>
        <w:t>o odpowiedzialności za naruszenie dyscypliny finansów publicznych.</w:t>
      </w:r>
    </w:p>
    <w:p>
      <w:pPr>
        <w:pStyle w:val="BodyText2"/>
        <w:spacing w:lineRule="auto" w:line="276"/>
        <w:ind w:left="284" w:hanging="284"/>
        <w:rPr>
          <w:rFonts w:ascii="Times New Roman" w:hAnsi="Times New Roman"/>
        </w:rPr>
      </w:pPr>
      <w:r>
        <w:rPr>
          <w:rFonts w:ascii="Times New Roman" w:hAnsi="Times New Roman"/>
        </w:rPr>
        <w:t>2. W zakresie nieuregulowanym umową stosuje się odpowiednio przepisy ustawy z dnia 23 kwietnia 1964 r. – Kodeks cywilny.</w:t>
      </w:r>
    </w:p>
    <w:p>
      <w:pPr>
        <w:pStyle w:val="Normal"/>
        <w:tabs>
          <w:tab w:val="clear" w:pos="708"/>
          <w:tab w:val="left" w:pos="142" w:leader="none"/>
        </w:tabs>
        <w:spacing w:lineRule="auto" w:line="276"/>
        <w:ind w:left="142" w:hanging="0"/>
        <w:jc w:val="center"/>
        <w:rPr>
          <w:b/>
          <w:b/>
        </w:rPr>
      </w:pPr>
      <w:r>
        <w:rPr>
          <w:b/>
        </w:rPr>
      </w:r>
    </w:p>
    <w:p>
      <w:pPr>
        <w:pStyle w:val="Normal"/>
        <w:tabs>
          <w:tab w:val="clear" w:pos="708"/>
          <w:tab w:val="left" w:pos="142" w:leader="none"/>
        </w:tabs>
        <w:spacing w:lineRule="auto" w:line="276"/>
        <w:ind w:left="142" w:hanging="0"/>
        <w:jc w:val="center"/>
        <w:rPr/>
      </w:pPr>
      <w:r>
        <w:rPr>
          <w:b/>
        </w:rPr>
        <w:t>§ 18</w:t>
      </w:r>
    </w:p>
    <w:p>
      <w:pPr>
        <w:pStyle w:val="Normal"/>
        <w:tabs>
          <w:tab w:val="clear" w:pos="708"/>
          <w:tab w:val="left" w:pos="0" w:leader="none"/>
        </w:tabs>
        <w:spacing w:lineRule="auto" w:line="276"/>
        <w:jc w:val="both"/>
        <w:rPr/>
      </w:pPr>
      <w:r>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spacing w:lineRule="auto" w:line="276"/>
        <w:jc w:val="center"/>
        <w:rPr>
          <w:b/>
          <w:b/>
        </w:rPr>
      </w:pPr>
      <w:r>
        <w:rPr>
          <w:b/>
        </w:rPr>
      </w:r>
    </w:p>
    <w:p>
      <w:pPr>
        <w:pStyle w:val="Normal"/>
        <w:spacing w:lineRule="auto" w:line="276"/>
        <w:jc w:val="center"/>
        <w:rPr>
          <w:b/>
          <w:b/>
        </w:rPr>
      </w:pPr>
      <w:r>
        <w:rPr>
          <w:b/>
        </w:rPr>
        <w:t>§ 19</w:t>
      </w:r>
    </w:p>
    <w:p>
      <w:pPr>
        <w:pStyle w:val="BodyText2"/>
        <w:spacing w:lineRule="auto" w:line="276"/>
        <w:rPr>
          <w:rFonts w:ascii="Times New Roman" w:hAnsi="Times New Roman"/>
        </w:rPr>
      </w:pPr>
      <w:r>
        <w:rPr>
          <w:rFonts w:ascii="Times New Roman" w:hAnsi="Times New Roman"/>
        </w:rPr>
        <w:t xml:space="preserve">Niniejsza umowa została sporządzona w 2 jednobrzmiących egzemplarzach, z tego </w:t>
        <w:br/>
        <w:t>1 egzemplarz dla Zleceniobiorcy i 1 dla Zleceniodawcy.</w:t>
      </w:r>
    </w:p>
    <w:p>
      <w:pPr>
        <w:pStyle w:val="BodyText2"/>
        <w:spacing w:lineRule="auto" w:line="276"/>
        <w:rPr>
          <w:rFonts w:ascii="Times New Roman" w:hAnsi="Times New Roman"/>
        </w:rPr>
      </w:pPr>
      <w:r>
        <w:rPr>
          <w:rFonts w:ascii="Times New Roman" w:hAnsi="Times New Roman"/>
        </w:rPr>
      </w:r>
    </w:p>
    <w:p>
      <w:pPr>
        <w:pStyle w:val="BodyText2"/>
        <w:spacing w:lineRule="auto" w:line="276"/>
        <w:rPr>
          <w:rFonts w:ascii="Times New Roman" w:hAnsi="Times New Roman"/>
        </w:rPr>
      </w:pPr>
      <w:r>
        <w:rPr>
          <w:rFonts w:ascii="Times New Roman" w:hAnsi="Times New Roman"/>
        </w:rPr>
      </w:r>
    </w:p>
    <w:p>
      <w:pPr>
        <w:pStyle w:val="BodyText2"/>
        <w:spacing w:lineRule="auto" w:line="276"/>
        <w:rPr>
          <w:rFonts w:ascii="Times New Roman" w:hAnsi="Times New Roman"/>
        </w:rPr>
      </w:pPr>
      <w:r>
        <w:rPr>
          <w:rFonts w:ascii="Times New Roman" w:hAnsi="Times New Roman"/>
        </w:rPr>
      </w:r>
    </w:p>
    <w:p>
      <w:pPr>
        <w:pStyle w:val="BodyText2"/>
        <w:spacing w:lineRule="auto" w:line="276"/>
        <w:rPr>
          <w:rFonts w:ascii="Times New Roman" w:hAnsi="Times New Roman"/>
        </w:rPr>
      </w:pPr>
      <w:r>
        <w:rPr>
          <w:rFonts w:ascii="Times New Roman" w:hAnsi="Times New Roman"/>
        </w:rPr>
      </w:r>
    </w:p>
    <w:p>
      <w:pPr>
        <w:pStyle w:val="Normal"/>
        <w:spacing w:lineRule="auto" w:line="276"/>
        <w:ind w:left="360" w:hanging="0"/>
        <w:jc w:val="both"/>
        <w:rPr/>
      </w:pPr>
      <w:r>
        <w:rPr/>
        <w:t xml:space="preserve">Zleceniobiorca:                                                                </w:t>
        <w:tab/>
        <w:tab/>
        <w:t xml:space="preserve"> Zleceniodawca:</w:t>
      </w:r>
    </w:p>
    <w:p>
      <w:pPr>
        <w:pStyle w:val="Normal"/>
        <w:spacing w:lineRule="auto" w:line="276"/>
        <w:ind w:left="284" w:hanging="0"/>
        <w:rPr/>
      </w:pPr>
      <w:r>
        <w:rPr/>
      </w:r>
    </w:p>
    <w:p>
      <w:pPr>
        <w:pStyle w:val="Normal"/>
        <w:spacing w:lineRule="auto" w:line="276"/>
        <w:ind w:left="284" w:hanging="0"/>
        <w:rPr/>
      </w:pPr>
      <w:r>
        <w:rPr/>
      </w:r>
    </w:p>
    <w:p>
      <w:pPr>
        <w:pStyle w:val="Normal"/>
        <w:spacing w:lineRule="auto" w:line="276"/>
        <w:ind w:left="284" w:hanging="0"/>
        <w:rPr/>
      </w:pPr>
      <w:r>
        <w:rPr/>
        <w:t xml:space="preserve"> </w:t>
      </w:r>
      <w:r>
        <w:rPr/>
        <w:t>....................................................                                               ..............................................</w:t>
      </w:r>
    </w:p>
    <w:p>
      <w:pPr>
        <w:pStyle w:val="Normal"/>
        <w:tabs>
          <w:tab w:val="clear" w:pos="708"/>
          <w:tab w:val="left" w:pos="0" w:leader="none"/>
        </w:tabs>
        <w:ind w:right="-1274" w:hanging="0"/>
        <w:rPr>
          <w:rFonts w:eastAsia="Arial"/>
        </w:rPr>
      </w:pPr>
      <w:r>
        <w:rPr>
          <w:rFonts w:eastAsia="Arial"/>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pPr>
      <w:r>
        <w:rPr/>
      </w:r>
    </w:p>
    <w:p>
      <w:pPr>
        <w:pStyle w:val="Normal"/>
        <w:tabs>
          <w:tab w:val="clear" w:pos="708"/>
          <w:tab w:val="left" w:pos="360" w:leader="none"/>
        </w:tabs>
        <w:spacing w:lineRule="auto" w:line="276"/>
        <w:jc w:val="both"/>
        <w:rPr>
          <w:sz w:val="20"/>
          <w:szCs w:val="20"/>
        </w:rPr>
      </w:pPr>
      <w:r>
        <w:rPr>
          <w:sz w:val="20"/>
          <w:szCs w:val="20"/>
        </w:rPr>
        <w:t>Załączniki:</w:t>
      </w:r>
    </w:p>
    <w:p>
      <w:pPr>
        <w:pStyle w:val="ListParagraph"/>
        <w:numPr>
          <w:ilvl w:val="3"/>
          <w:numId w:val="14"/>
        </w:numPr>
        <w:tabs>
          <w:tab w:val="clear" w:pos="708"/>
          <w:tab w:val="left" w:pos="360" w:leader="none"/>
        </w:tabs>
        <w:spacing w:lineRule="auto" w:line="276"/>
        <w:ind w:left="426" w:hanging="360"/>
        <w:jc w:val="both"/>
        <w:rPr>
          <w:sz w:val="20"/>
          <w:szCs w:val="20"/>
        </w:rPr>
      </w:pPr>
      <w:r>
        <w:rPr>
          <w:sz w:val="20"/>
          <w:szCs w:val="20"/>
        </w:rPr>
        <w:t>Oferta realizacji zadania publicznego.</w:t>
      </w:r>
    </w:p>
    <w:p>
      <w:pPr>
        <w:pStyle w:val="ListParagraph"/>
        <w:numPr>
          <w:ilvl w:val="3"/>
          <w:numId w:val="14"/>
        </w:numPr>
        <w:tabs>
          <w:tab w:val="clear" w:pos="708"/>
          <w:tab w:val="left" w:pos="360" w:leader="none"/>
        </w:tabs>
        <w:spacing w:lineRule="auto" w:line="276"/>
        <w:ind w:left="426" w:hanging="360"/>
        <w:jc w:val="both"/>
        <w:rPr>
          <w:sz w:val="20"/>
          <w:szCs w:val="20"/>
        </w:rPr>
      </w:pPr>
      <w:r>
        <w:rPr>
          <w:sz w:val="20"/>
          <w:szCs w:val="20"/>
        </w:rPr>
        <w:t>Kopia aktualnego wyciągu z właściwego rejestru lub ewidencji / pobrany samodzielnie wydruk komputerowy aktualnych informacji o podmiocie wpisanym do Krajowego Rejestru Sądowego.</w:t>
      </w:r>
    </w:p>
    <w:p>
      <w:pPr>
        <w:pStyle w:val="ListParagraph"/>
        <w:numPr>
          <w:ilvl w:val="3"/>
          <w:numId w:val="14"/>
        </w:numPr>
        <w:tabs>
          <w:tab w:val="clear" w:pos="708"/>
          <w:tab w:val="left" w:pos="360" w:leader="none"/>
        </w:tabs>
        <w:spacing w:lineRule="auto" w:line="276"/>
        <w:ind w:left="426" w:hanging="360"/>
        <w:jc w:val="both"/>
        <w:rPr>
          <w:sz w:val="20"/>
          <w:szCs w:val="20"/>
        </w:rPr>
      </w:pPr>
      <w:r>
        <w:rPr>
          <w:sz w:val="20"/>
          <w:szCs w:val="20"/>
        </w:rPr>
        <w:t>Zaktualizowany harmonogram działań.</w:t>
      </w:r>
    </w:p>
    <w:p>
      <w:pPr>
        <w:pStyle w:val="ListParagraph"/>
        <w:numPr>
          <w:ilvl w:val="3"/>
          <w:numId w:val="14"/>
        </w:numPr>
        <w:tabs>
          <w:tab w:val="clear" w:pos="708"/>
          <w:tab w:val="left" w:pos="360" w:leader="none"/>
        </w:tabs>
        <w:spacing w:lineRule="auto" w:line="276"/>
        <w:ind w:left="426" w:hanging="360"/>
        <w:jc w:val="both"/>
        <w:rPr>
          <w:sz w:val="20"/>
          <w:szCs w:val="20"/>
        </w:rPr>
      </w:pPr>
      <w:r>
        <w:rPr>
          <w:sz w:val="20"/>
          <w:szCs w:val="20"/>
        </w:rPr>
        <w:t>Zaktualizowana kalkulacja przewidywanych kosztów realizacji zadania.</w:t>
      </w:r>
    </w:p>
    <w:p>
      <w:pPr>
        <w:pStyle w:val="ListParagraph"/>
        <w:numPr>
          <w:ilvl w:val="3"/>
          <w:numId w:val="14"/>
        </w:numPr>
        <w:tabs>
          <w:tab w:val="clear" w:pos="708"/>
          <w:tab w:val="left" w:pos="360" w:leader="none"/>
        </w:tabs>
        <w:spacing w:lineRule="auto" w:line="276"/>
        <w:ind w:left="426" w:hanging="360"/>
        <w:jc w:val="both"/>
        <w:rPr>
          <w:sz w:val="20"/>
          <w:szCs w:val="20"/>
        </w:rPr>
      </w:pPr>
      <w:r>
        <w:rPr>
          <w:sz w:val="20"/>
          <w:szCs w:val="20"/>
        </w:rPr>
        <w:t>Zaktualizowany opis poszczególnych działań.</w:t>
      </w:r>
    </w:p>
    <w:p>
      <w:pPr>
        <w:pStyle w:val="ListParagraph"/>
        <w:tabs>
          <w:tab w:val="clear" w:pos="708"/>
          <w:tab w:val="left" w:pos="360" w:leader="none"/>
        </w:tabs>
        <w:spacing w:lineRule="auto" w:line="276"/>
        <w:ind w:left="426" w:hanging="0"/>
        <w:jc w:val="both"/>
        <w:rPr/>
      </w:pPr>
      <w:r>
        <w:rPr/>
      </w:r>
    </w:p>
    <w:sectPr>
      <w:footerReference w:type="default" r:id="rId5"/>
      <w:type w:val="nextPage"/>
      <w:pgSz w:w="11906" w:h="16838"/>
      <w:pgMar w:left="1417" w:right="1417" w:gutter="0" w:header="0" w:top="851"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11</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2"/>
      <w:numFmt w:val="decimal"/>
      <w:lvlText w:val="%1."/>
      <w:lvlJc w:val="left"/>
      <w:pPr>
        <w:tabs>
          <w:tab w:val="num" w:pos="3960"/>
        </w:tabs>
        <w:ind w:left="39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83" w:hanging="360"/>
      </w:pPr>
      <w:rPr>
        <w:b w:val="false"/>
      </w:rPr>
    </w:lvl>
    <w:lvl w:ilvl="1">
      <w:start w:val="1"/>
      <w:numFmt w:val="lowerLetter"/>
      <w:lvlText w:val="%2."/>
      <w:lvlJc w:val="left"/>
      <w:pPr>
        <w:tabs>
          <w:tab w:val="num" w:pos="0"/>
        </w:tabs>
        <w:ind w:left="1503" w:hanging="360"/>
      </w:pPr>
    </w:lvl>
    <w:lvl w:ilvl="2">
      <w:start w:val="1"/>
      <w:numFmt w:val="lowerRoman"/>
      <w:lvlText w:val="%3."/>
      <w:lvlJc w:val="right"/>
      <w:pPr>
        <w:tabs>
          <w:tab w:val="num" w:pos="0"/>
        </w:tabs>
        <w:ind w:left="2223" w:hanging="180"/>
      </w:pPr>
    </w:lvl>
    <w:lvl w:ilvl="3">
      <w:start w:val="1"/>
      <w:numFmt w:val="decimal"/>
      <w:lvlText w:val="%4."/>
      <w:lvlJc w:val="left"/>
      <w:pPr>
        <w:tabs>
          <w:tab w:val="num" w:pos="0"/>
        </w:tabs>
        <w:ind w:left="2943" w:hanging="360"/>
      </w:pPr>
    </w:lvl>
    <w:lvl w:ilvl="4">
      <w:start w:val="1"/>
      <w:numFmt w:val="lowerLetter"/>
      <w:lvlText w:val="%5."/>
      <w:lvlJc w:val="left"/>
      <w:pPr>
        <w:tabs>
          <w:tab w:val="num" w:pos="0"/>
        </w:tabs>
        <w:ind w:left="3663" w:hanging="360"/>
      </w:pPr>
    </w:lvl>
    <w:lvl w:ilvl="5">
      <w:start w:val="1"/>
      <w:numFmt w:val="lowerRoman"/>
      <w:lvlText w:val="%6."/>
      <w:lvlJc w:val="right"/>
      <w:pPr>
        <w:tabs>
          <w:tab w:val="num" w:pos="0"/>
        </w:tabs>
        <w:ind w:left="4383" w:hanging="180"/>
      </w:pPr>
    </w:lvl>
    <w:lvl w:ilvl="6">
      <w:start w:val="1"/>
      <w:numFmt w:val="decimal"/>
      <w:lvlText w:val="%7."/>
      <w:lvlJc w:val="left"/>
      <w:pPr>
        <w:tabs>
          <w:tab w:val="num" w:pos="0"/>
        </w:tabs>
        <w:ind w:left="5103" w:hanging="360"/>
      </w:pPr>
    </w:lvl>
    <w:lvl w:ilvl="7">
      <w:start w:val="1"/>
      <w:numFmt w:val="lowerLetter"/>
      <w:lvlText w:val="%8."/>
      <w:lvlJc w:val="left"/>
      <w:pPr>
        <w:tabs>
          <w:tab w:val="num" w:pos="0"/>
        </w:tabs>
        <w:ind w:left="5823" w:hanging="360"/>
      </w:pPr>
    </w:lvl>
    <w:lvl w:ilvl="8">
      <w:start w:val="1"/>
      <w:numFmt w:val="lowerRoman"/>
      <w:lvlText w:val="%9."/>
      <w:lvlJc w:val="right"/>
      <w:pPr>
        <w:tabs>
          <w:tab w:val="num" w:pos="0"/>
        </w:tabs>
        <w:ind w:left="6543" w:hanging="180"/>
      </w:pPr>
    </w:lvl>
  </w:abstractNum>
  <w:abstractNum w:abstractNumId="7">
    <w:lvl w:ilvl="0">
      <w:start w:val="1"/>
      <w:numFmt w:val="decimal"/>
      <w:lvlText w:val="%1."/>
      <w:lvlJc w:val="left"/>
      <w:pPr>
        <w:tabs>
          <w:tab w:val="num" w:pos="5747"/>
        </w:tabs>
        <w:ind w:left="5747" w:hanging="360"/>
      </w:pPr>
      <w:rPr>
        <w:b w:val="false"/>
        <w:bCs/>
        <w:rFonts w:ascii="Times New Roman" w:hAnsi="Times New Roman" w:cs="Times New Roman"/>
      </w:rPr>
    </w:lvl>
    <w:lvl w:ilvl="1">
      <w:start w:val="1"/>
      <w:numFmt w:val="lowerLetter"/>
      <w:lvlText w:val="%2."/>
      <w:lvlJc w:val="left"/>
      <w:pPr>
        <w:tabs>
          <w:tab w:val="num" w:pos="6685"/>
        </w:tabs>
        <w:ind w:left="6685" w:hanging="360"/>
      </w:pPr>
    </w:lvl>
    <w:lvl w:ilvl="2">
      <w:start w:val="1"/>
      <w:numFmt w:val="lowerRoman"/>
      <w:lvlText w:val="%3."/>
      <w:lvlJc w:val="right"/>
      <w:pPr>
        <w:tabs>
          <w:tab w:val="num" w:pos="7405"/>
        </w:tabs>
        <w:ind w:left="7405" w:hanging="180"/>
      </w:pPr>
    </w:lvl>
    <w:lvl w:ilvl="3">
      <w:start w:val="1"/>
      <w:numFmt w:val="decimal"/>
      <w:lvlText w:val="%4."/>
      <w:lvlJc w:val="left"/>
      <w:pPr>
        <w:tabs>
          <w:tab w:val="num" w:pos="8125"/>
        </w:tabs>
        <w:ind w:left="8125" w:hanging="360"/>
      </w:pPr>
    </w:lvl>
    <w:lvl w:ilvl="4">
      <w:start w:val="1"/>
      <w:numFmt w:val="lowerLetter"/>
      <w:lvlText w:val="%5."/>
      <w:lvlJc w:val="left"/>
      <w:pPr>
        <w:tabs>
          <w:tab w:val="num" w:pos="8845"/>
        </w:tabs>
        <w:ind w:left="8845" w:hanging="360"/>
      </w:pPr>
    </w:lvl>
    <w:lvl w:ilvl="5">
      <w:start w:val="1"/>
      <w:numFmt w:val="lowerRoman"/>
      <w:lvlText w:val="%6."/>
      <w:lvlJc w:val="right"/>
      <w:pPr>
        <w:tabs>
          <w:tab w:val="num" w:pos="9565"/>
        </w:tabs>
        <w:ind w:left="9565" w:hanging="180"/>
      </w:pPr>
    </w:lvl>
    <w:lvl w:ilvl="6">
      <w:start w:val="1"/>
      <w:numFmt w:val="decimal"/>
      <w:lvlText w:val="%7."/>
      <w:lvlJc w:val="left"/>
      <w:pPr>
        <w:tabs>
          <w:tab w:val="num" w:pos="10285"/>
        </w:tabs>
        <w:ind w:left="10285" w:hanging="360"/>
      </w:pPr>
    </w:lvl>
    <w:lvl w:ilvl="7">
      <w:start w:val="1"/>
      <w:numFmt w:val="lowerLetter"/>
      <w:lvlText w:val="%8."/>
      <w:lvlJc w:val="left"/>
      <w:pPr>
        <w:tabs>
          <w:tab w:val="num" w:pos="11005"/>
        </w:tabs>
        <w:ind w:left="11005" w:hanging="360"/>
      </w:pPr>
    </w:lvl>
    <w:lvl w:ilvl="8">
      <w:start w:val="1"/>
      <w:numFmt w:val="lowerRoman"/>
      <w:lvlText w:val="%9."/>
      <w:lvlJc w:val="right"/>
      <w:pPr>
        <w:tabs>
          <w:tab w:val="num" w:pos="11725"/>
        </w:tabs>
        <w:ind w:left="11725"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04" w:hanging="360"/>
      </w:pPr>
      <w:rPr>
        <w:i w:val="false"/>
        <w:rFonts w:ascii="Times New Roman" w:hAnsi="Times New Roman" w:eastAsia="Times New Roman" w:cs="Times New Roman"/>
      </w:rPr>
    </w:lvl>
    <w:lvl w:ilvl="1">
      <w:start w:val="1"/>
      <w:numFmt w:val="decimal"/>
      <w:lvlText w:val="%2)"/>
      <w:lvlJc w:val="left"/>
      <w:pPr>
        <w:tabs>
          <w:tab w:val="num" w:pos="0"/>
        </w:tabs>
        <w:ind w:left="5039" w:hanging="360"/>
      </w:pPr>
      <w:rPr>
        <w:i w:val="false"/>
        <w:rFonts w:ascii="Times New Roman" w:hAnsi="Times New Roman" w:eastAsia="Times New Roman" w:cs="Times New Roman"/>
      </w:rPr>
    </w:lvl>
    <w:lvl w:ilvl="2">
      <w:start w:val="5"/>
      <w:numFmt w:val="decimal"/>
      <w:lvlText w:val="%3."/>
      <w:lvlJc w:val="left"/>
      <w:pPr>
        <w:tabs>
          <w:tab w:val="num" w:pos="0"/>
        </w:tabs>
        <w:ind w:left="2624" w:hanging="36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3">
    <w:lvl w:ilvl="0">
      <w:start w:val="1"/>
      <w:numFmt w:val="decimal"/>
      <w:lvlText w:val="%1."/>
      <w:lvlJc w:val="left"/>
      <w:pPr>
        <w:tabs>
          <w:tab w:val="num" w:pos="0"/>
        </w:tabs>
        <w:ind w:left="360" w:hanging="360"/>
      </w:pPr>
      <w:rPr>
        <w:sz w:val="22"/>
        <w:szCs w:val="22"/>
        <w:rFonts w:ascii="Arial"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56da6"/>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d56da6"/>
    <w:pPr>
      <w:keepNext w:val="true"/>
      <w:spacing w:before="240" w:after="0"/>
      <w:jc w:val="right"/>
      <w:outlineLvl w:val="0"/>
    </w:pPr>
    <w:rPr>
      <w:b/>
      <w:bCs/>
    </w:rPr>
  </w:style>
  <w:style w:type="paragraph" w:styleId="Nagwek4">
    <w:name w:val="Heading 4"/>
    <w:basedOn w:val="Normal"/>
    <w:next w:val="Normal"/>
    <w:qFormat/>
    <w:rsid w:val="00d56da6"/>
    <w:pPr>
      <w:keepNext w:val="true"/>
      <w:spacing w:before="240" w:after="60"/>
      <w:outlineLvl w:val="3"/>
    </w:pPr>
    <w:rPr>
      <w:b/>
      <w:bCs/>
      <w:sz w:val="28"/>
      <w:szCs w:val="28"/>
    </w:rPr>
  </w:style>
  <w:style w:type="paragraph" w:styleId="Nagwek5">
    <w:name w:val="Heading 5"/>
    <w:basedOn w:val="Normal"/>
    <w:next w:val="Normal"/>
    <w:qFormat/>
    <w:rsid w:val="00d56da6"/>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yrnienie">
    <w:name w:val="Wyróżnienie"/>
    <w:qFormat/>
    <w:rsid w:val="003a59f2"/>
    <w:rPr>
      <w:i/>
      <w:iCs/>
    </w:rPr>
  </w:style>
  <w:style w:type="character" w:styleId="Czeinternetowe">
    <w:name w:val="Łącze internetowe"/>
    <w:semiHidden/>
    <w:rsid w:val="00204e4c"/>
    <w:rPr>
      <w:color w:val="0000FF"/>
      <w:u w:val="single"/>
    </w:rPr>
  </w:style>
  <w:style w:type="character" w:styleId="Annotationreference">
    <w:name w:val="annotation reference"/>
    <w:qFormat/>
    <w:rsid w:val="00be501f"/>
    <w:rPr>
      <w:sz w:val="16"/>
      <w:szCs w:val="16"/>
    </w:rPr>
  </w:style>
  <w:style w:type="character" w:styleId="TekstkomentarzaZnak" w:customStyle="1">
    <w:name w:val="Tekst komentarza Znak"/>
    <w:basedOn w:val="DefaultParagraphFont"/>
    <w:link w:val="Tekstkomentarza"/>
    <w:semiHidden/>
    <w:qFormat/>
    <w:rsid w:val="00be501f"/>
    <w:rPr/>
  </w:style>
  <w:style w:type="character" w:styleId="TematkomentarzaZnak" w:customStyle="1">
    <w:name w:val="Temat komentarza Znak"/>
    <w:basedOn w:val="TekstkomentarzaZnak"/>
    <w:link w:val="Tematkomentarza"/>
    <w:qFormat/>
    <w:rsid w:val="00be501f"/>
    <w:rPr/>
  </w:style>
  <w:style w:type="character" w:styleId="Tekstpodstawowy2Znak" w:customStyle="1">
    <w:name w:val="Tekst podstawowy 2 Znak"/>
    <w:link w:val="Tekstpodstawowy2"/>
    <w:semiHidden/>
    <w:qFormat/>
    <w:rsid w:val="007d52eb"/>
    <w:rPr>
      <w:rFonts w:ascii="Courier New" w:hAnsi="Courier New" w:cs="Courier New"/>
      <w:sz w:val="24"/>
      <w:szCs w:val="24"/>
    </w:rPr>
  </w:style>
  <w:style w:type="character" w:styleId="Strong">
    <w:name w:val="Strong"/>
    <w:uiPriority w:val="99"/>
    <w:qFormat/>
    <w:rsid w:val="0098059c"/>
    <w:rPr>
      <w:b/>
      <w:bCs/>
    </w:rPr>
  </w:style>
  <w:style w:type="character" w:styleId="TekstprzypisudolnegoZnak" w:customStyle="1">
    <w:name w:val="Tekst przypisu dolnego Znak"/>
    <w:basedOn w:val="DefaultParagraphFont"/>
    <w:link w:val="Tekstprzypisudolnego"/>
    <w:qFormat/>
    <w:rsid w:val="00b8414f"/>
    <w:rPr/>
  </w:style>
  <w:style w:type="character" w:styleId="Zakotwiczenieprzypisudolnego">
    <w:name w:val="Zakotwiczenie przypisu dolnego"/>
    <w:rPr>
      <w:vertAlign w:val="superscript"/>
    </w:rPr>
  </w:style>
  <w:style w:type="character" w:styleId="FootnoteCharacters">
    <w:name w:val="Footnote Characters"/>
    <w:qFormat/>
    <w:rsid w:val="00b8414f"/>
    <w:rPr>
      <w:vertAlign w:val="superscript"/>
    </w:rPr>
  </w:style>
  <w:style w:type="character" w:styleId="NagwekZnak" w:customStyle="1">
    <w:name w:val="Nagłówek Znak"/>
    <w:basedOn w:val="DefaultParagraphFont"/>
    <w:link w:val="Nagwek"/>
    <w:qFormat/>
    <w:rsid w:val="00614851"/>
    <w:rPr>
      <w:sz w:val="24"/>
      <w:szCs w:val="24"/>
    </w:rPr>
  </w:style>
  <w:style w:type="character" w:styleId="StopkaZnak" w:customStyle="1">
    <w:name w:val="Stopka Znak"/>
    <w:basedOn w:val="DefaultParagraphFont"/>
    <w:link w:val="Stopka"/>
    <w:uiPriority w:val="99"/>
    <w:qFormat/>
    <w:rsid w:val="00614851"/>
    <w:rPr>
      <w:sz w:val="24"/>
      <w:szCs w:val="24"/>
    </w:rPr>
  </w:style>
  <w:style w:type="character" w:styleId="Teksttreci2" w:customStyle="1">
    <w:name w:val="Tekst treści (2)_"/>
    <w:basedOn w:val="DefaultParagraphFont"/>
    <w:link w:val="Teksttreci20"/>
    <w:qFormat/>
    <w:locked/>
    <w:rsid w:val="00c64424"/>
    <w:rPr>
      <w:rFonts w:ascii="Arial" w:hAnsi="Arial" w:eastAsia="Arial" w:cs="Arial"/>
      <w:color w:val="231F20"/>
      <w:sz w:val="16"/>
      <w:szCs w:val="16"/>
      <w:shd w:fill="FFFFFF" w:val="clear"/>
    </w:rPr>
  </w:style>
  <w:style w:type="character" w:styleId="Nierozpoznanawzmianka1" w:customStyle="1">
    <w:name w:val="Nierozpoznana wzmianka1"/>
    <w:basedOn w:val="DefaultParagraphFont"/>
    <w:uiPriority w:val="99"/>
    <w:semiHidden/>
    <w:unhideWhenUsed/>
    <w:qFormat/>
    <w:rsid w:val="001b63cc"/>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semiHidden/>
    <w:rsid w:val="00d56da6"/>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Web">
    <w:name w:val="Normal (Web)"/>
    <w:basedOn w:val="Normal"/>
    <w:semiHidden/>
    <w:qFormat/>
    <w:rsid w:val="00d56da6"/>
    <w:pPr>
      <w:spacing w:before="100" w:after="100"/>
    </w:pPr>
    <w:rPr>
      <w:szCs w:val="20"/>
    </w:rPr>
  </w:style>
  <w:style w:type="paragraph" w:styleId="BodyText2">
    <w:name w:val="Body Text 2"/>
    <w:basedOn w:val="Normal"/>
    <w:link w:val="Tekstpodstawowy2Znak"/>
    <w:semiHidden/>
    <w:qFormat/>
    <w:rsid w:val="00d56da6"/>
    <w:pPr>
      <w:jc w:val="both"/>
    </w:pPr>
    <w:rPr>
      <w:rFonts w:ascii="Courier New" w:hAnsi="Courier New"/>
    </w:rPr>
  </w:style>
  <w:style w:type="paragraph" w:styleId="BodyTextIndent3">
    <w:name w:val="Body Text Indent 3"/>
    <w:basedOn w:val="Normal"/>
    <w:semiHidden/>
    <w:qFormat/>
    <w:rsid w:val="00d56da6"/>
    <w:pPr>
      <w:ind w:left="5040" w:hanging="3612"/>
    </w:pPr>
    <w:rPr/>
  </w:style>
  <w:style w:type="paragraph" w:styleId="Wcicietrecitekstu">
    <w:name w:val="Body Text Indent"/>
    <w:basedOn w:val="Normal"/>
    <w:semiHidden/>
    <w:rsid w:val="00d56da6"/>
    <w:pPr>
      <w:spacing w:before="0" w:after="120"/>
      <w:ind w:left="283" w:hanging="0"/>
    </w:pPr>
    <w:rPr/>
  </w:style>
  <w:style w:type="paragraph" w:styleId="Annotationtext">
    <w:name w:val="annotation text"/>
    <w:basedOn w:val="Normal"/>
    <w:link w:val="TekstkomentarzaZnak"/>
    <w:semiHidden/>
    <w:qFormat/>
    <w:rsid w:val="00d56da6"/>
    <w:pPr/>
    <w:rPr>
      <w:sz w:val="20"/>
      <w:szCs w:val="20"/>
    </w:rPr>
  </w:style>
  <w:style w:type="paragraph" w:styleId="ListParagraph">
    <w:name w:val="List Paragraph"/>
    <w:basedOn w:val="Normal"/>
    <w:uiPriority w:val="34"/>
    <w:qFormat/>
    <w:rsid w:val="00d56da6"/>
    <w:pPr>
      <w:ind w:left="708" w:hanging="0"/>
    </w:pPr>
    <w:rPr/>
  </w:style>
  <w:style w:type="paragraph" w:styleId="BalloonText">
    <w:name w:val="Balloon Text"/>
    <w:basedOn w:val="Normal"/>
    <w:semiHidden/>
    <w:qFormat/>
    <w:rsid w:val="002d2b48"/>
    <w:pPr/>
    <w:rPr>
      <w:rFonts w:ascii="Tahoma" w:hAnsi="Tahoma" w:cs="Tahoma"/>
      <w:sz w:val="16"/>
      <w:szCs w:val="16"/>
    </w:rPr>
  </w:style>
  <w:style w:type="paragraph" w:styleId="DocumentMap">
    <w:name w:val="Document Map"/>
    <w:basedOn w:val="Normal"/>
    <w:semiHidden/>
    <w:qFormat/>
    <w:rsid w:val="00820741"/>
    <w:pPr>
      <w:shd w:val="clear" w:color="auto" w:fill="000080"/>
    </w:pPr>
    <w:rPr>
      <w:rFonts w:ascii="Tahoma" w:hAnsi="Tahoma" w:cs="Tahoma"/>
      <w:sz w:val="20"/>
      <w:szCs w:val="20"/>
    </w:rPr>
  </w:style>
  <w:style w:type="paragraph" w:styleId="Annotationsubject">
    <w:name w:val="annotation subject"/>
    <w:basedOn w:val="Annotationtext"/>
    <w:next w:val="Annotationtext"/>
    <w:link w:val="TematkomentarzaZnak"/>
    <w:qFormat/>
    <w:rsid w:val="00be501f"/>
    <w:pPr/>
    <w:rPr>
      <w:b/>
      <w:bCs/>
    </w:rPr>
  </w:style>
  <w:style w:type="paragraph" w:styleId="Przypisdolny">
    <w:name w:val="Footnote Text"/>
    <w:basedOn w:val="Normal"/>
    <w:link w:val="TekstprzypisudolnegoZnak"/>
    <w:rsid w:val="00b8414f"/>
    <w:pPr/>
    <w:rPr>
      <w:sz w:val="20"/>
      <w:szCs w:val="20"/>
    </w:rPr>
  </w:style>
  <w:style w:type="paragraph" w:styleId="Gwkaistopka">
    <w:name w:val="Główka i stopka"/>
    <w:basedOn w:val="Normal"/>
    <w:qFormat/>
    <w:pPr/>
    <w:rPr/>
  </w:style>
  <w:style w:type="paragraph" w:styleId="Gwka">
    <w:name w:val="Header"/>
    <w:basedOn w:val="Normal"/>
    <w:link w:val="NagwekZnak"/>
    <w:rsid w:val="00614851"/>
    <w:pPr>
      <w:tabs>
        <w:tab w:val="clear" w:pos="708"/>
        <w:tab w:val="center" w:pos="4536" w:leader="none"/>
        <w:tab w:val="right" w:pos="9072" w:leader="none"/>
      </w:tabs>
    </w:pPr>
    <w:rPr/>
  </w:style>
  <w:style w:type="paragraph" w:styleId="Stopka">
    <w:name w:val="Footer"/>
    <w:basedOn w:val="Normal"/>
    <w:link w:val="StopkaZnak"/>
    <w:uiPriority w:val="99"/>
    <w:rsid w:val="00614851"/>
    <w:pPr>
      <w:tabs>
        <w:tab w:val="clear" w:pos="708"/>
        <w:tab w:val="center" w:pos="4536" w:leader="none"/>
        <w:tab w:val="right" w:pos="9072" w:leader="none"/>
      </w:tabs>
    </w:pPr>
    <w:rPr/>
  </w:style>
  <w:style w:type="paragraph" w:styleId="Teksttreci21" w:customStyle="1">
    <w:name w:val="Tekst treści (2)"/>
    <w:basedOn w:val="Normal"/>
    <w:link w:val="Teksttreci2"/>
    <w:qFormat/>
    <w:rsid w:val="00c64424"/>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m2tsnrrguyts" TargetMode="External"/><Relationship Id="rId3" Type="http://schemas.openxmlformats.org/officeDocument/2006/relationships/hyperlink" Target="https://sip.legalis.pl/document-view.seam?documentId=mfrxilrvgaytgnbsge4a" TargetMode="External"/><Relationship Id="rId4" Type="http://schemas.openxmlformats.org/officeDocument/2006/relationships/hyperlink" Target="https://sip.legalis.pl/document-view.seam?documentId=mfrxilrtgm2tsnrrguyts"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EA1D6-14E6-43CD-BF5F-415561E3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LibreOffice/7.2.2.1$Windows_X86_64 LibreOffice_project/0e408af0b27894d652a87aa5f21fe17bf058124c</Application>
  <AppVersion>15.0000</AppVersion>
  <Pages>11</Pages>
  <Words>3369</Words>
  <Characters>21567</Characters>
  <CharactersWithSpaces>24891</CharactersWithSpaces>
  <Paragraphs>185</Paragraphs>
  <Company>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2021-10-04T07:20:00Z</dcterms:created>
  <dc:creator>Katarzyna Kolodziej</dc:creator>
  <dc:description/>
  <dc:language>pl-PL</dc:language>
  <cp:lastModifiedBy>Anna Szema</cp:lastModifiedBy>
  <cp:lastPrinted>2021-10-07T11:54:00Z</cp:lastPrinted>
  <dcterms:modified xsi:type="dcterms:W3CDTF">2021-10-07T12:01:00Z</dcterms:modified>
  <cp:revision>13</cp:revision>
  <dc:subject/>
  <dc:title>WZÓR</dc:title>
</cp:coreProperties>
</file>

<file path=docProps/custom.xml><?xml version="1.0" encoding="utf-8"?>
<Properties xmlns="http://schemas.openxmlformats.org/officeDocument/2006/custom-properties" xmlns:vt="http://schemas.openxmlformats.org/officeDocument/2006/docPropsVTypes"/>
</file>